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D3D77" w14:textId="77777777" w:rsidR="00B70FAF" w:rsidRPr="00B70FAF" w:rsidRDefault="00B70FAF" w:rsidP="00B70FAF">
      <w:r w:rsidRPr="00B70FAF">
        <w:rPr>
          <w:b/>
          <w:bCs/>
        </w:rPr>
        <w:t>Paso 0 — Listas de candidatos con radio de corte (de Almouhanna et al., 2020)</w:t>
      </w:r>
    </w:p>
    <w:p w14:paraId="7FFBFA15" w14:textId="77777777" w:rsidR="00B70FAF" w:rsidRPr="00B70FAF" w:rsidRDefault="00B70FAF" w:rsidP="00B70FAF">
      <w:r w:rsidRPr="00B70FAF">
        <w:t xml:space="preserve">Para cada cliente, construyes su lista de PUDOs/microhubs candidatos, ordenada por distancia, pero </w:t>
      </w:r>
      <w:r w:rsidRPr="00B70FAF">
        <w:rPr>
          <w:b/>
          <w:bCs/>
        </w:rPr>
        <w:t>descartando de entrada</w:t>
      </w:r>
      <w:r w:rsidRPr="00B70FAF">
        <w:t xml:space="preserve"> los que superen tu radio de cobertura máximo (p. ej. 500 m a pie para un PUDO, un radio mayor en bici para un microhub). Si un cliente se queda sin ningún candidato dentro de radio, lo marcas como no cubierto por ese modelo en ese barrio — dato en sí mismo relevante para tu comparación.</w:t>
      </w:r>
    </w:p>
    <w:p w14:paraId="00B60193" w14:textId="77777777" w:rsidR="00B70FAF" w:rsidRPr="00B70FAF" w:rsidRDefault="00B70FAF" w:rsidP="00B70FAF">
      <w:r w:rsidRPr="00B70FAF">
        <w:rPr>
          <w:b/>
          <w:bCs/>
        </w:rPr>
        <w:t>Paso 1 — Asignación inicial ("dummy"), igual que en Pérez-Bernabeu et al. (2015)</w:t>
      </w:r>
    </w:p>
    <w:p w14:paraId="61672750" w14:textId="77777777" w:rsidR="00B70FAF" w:rsidRPr="00B70FAF" w:rsidRDefault="00B70FAF" w:rsidP="00B70FAF">
      <w:r w:rsidRPr="00B70FAF">
        <w:t>Con esas listas ya filtradas, generas una primera asignación factible: cada cliente va al primero de su lista (el más cercano) que todavía tenga capacidad libre en el PUDO/microhub. Con este mapa cliente→instalación ya puedes agrupar los clientes por instalación asignada y correr el CWS dentro de cada grupo para obtener un coste de rutas inicial. Esto es tu punto de partida, no el resultado final.</w:t>
      </w:r>
    </w:p>
    <w:p w14:paraId="4D5C09C5" w14:textId="77777777" w:rsidR="00B70FAF" w:rsidRPr="00B70FAF" w:rsidRDefault="00B70FAF" w:rsidP="00B70FAF">
      <w:r w:rsidRPr="00B70FAF">
        <w:rPr>
          <w:b/>
          <w:bCs/>
        </w:rPr>
        <w:t>Paso 2 — Perturbación aleatoria sesgada, combinando Pérez-Bernabeu (2015) y Quintero-Araujo et al. (2017)</w:t>
      </w:r>
    </w:p>
    <w:p w14:paraId="5EEFAA79" w14:textId="77777777" w:rsidR="00B70FAF" w:rsidRPr="00B70FAF" w:rsidRDefault="00B70FAF" w:rsidP="00B70FAF">
      <w:r w:rsidRPr="00B70FAF">
        <w:t>Aquí es donde se resuelve tu preocupación sobre el orden: en vez de quedarte con la asignación fija del Paso 1, generas nuevos mapas de asignación repetidamente, cambiando de instalación a algunos clientes de forma aleatoria pero sesgada — usando una distribución tipo geométrica donde la opción más cercana de la lista de cada cliente sigue siendo la más probable, pero no obligatoria; a veces "salta" a su segunda o tercera opción. Quintero-Araujo et al. (2017) lo plantean de forma simétrica: seleccionan primero una instalación al azar (mientras tenga capacidad), y luego, dentro de esa instalación, seleccionan qué cliente asignarle con esa misma probabilidad sesgada. Cualquiera de las dos formas sirve; la idea clave es la misma: nunca hay un único orden fijo determinando el resultado.</w:t>
      </w:r>
    </w:p>
    <w:p w14:paraId="2B6BD0FB" w14:textId="77777777" w:rsidR="00B70FAF" w:rsidRPr="00B70FAF" w:rsidRDefault="00B70FAF" w:rsidP="00B70FAF">
      <w:r w:rsidRPr="00B70FAF">
        <w:rPr>
          <w:b/>
          <w:bCs/>
        </w:rPr>
        <w:t>Paso 3 — Evaluación rápida y selección de la mejor, en bucle (ILS, de Pérez-Bernabeu et al., 2015)</w:t>
      </w:r>
    </w:p>
    <w:p w14:paraId="623CEBAC" w14:textId="77777777" w:rsidR="00B70FAF" w:rsidRPr="00B70FAF" w:rsidRDefault="00B70FAF" w:rsidP="00B70FAF">
      <w:r w:rsidRPr="00B70FAF">
        <w:t>Cada vez que generas un nuevo mapa de asignación, recalculas rápidamente el coste de rutas (CWS dentro de cada instalación afectada) y comparas contra la mejor solución encontrada hasta ahora. Si mejora, la guardas como nueva mejor. Repites esto durante un número de iteraciones o un tiempo máximo fijado (por ejemplo, unos segundos por barrio, dado el tamaño de tus instancias). Al final te quedas con el mejor mapa cliente→PUDO/microhub encontrado tras probar muchas combinaciones distintas, no con el primero que generó un criterio determinista.</w:t>
      </w:r>
    </w:p>
    <w:p w14:paraId="562A120E" w14:textId="77777777" w:rsidR="00B70FAF" w:rsidRPr="00B70FAF" w:rsidRDefault="00B70FAF" w:rsidP="00B70FAF">
      <w:r w:rsidRPr="00B70FAF">
        <w:rPr>
          <w:b/>
          <w:bCs/>
        </w:rPr>
        <w:t>Aplicación por niveles en tu red</w:t>
      </w:r>
    </w:p>
    <w:p w14:paraId="2703847F" w14:textId="77777777" w:rsidR="00B70FAF" w:rsidRPr="00B70FAF" w:rsidRDefault="00B70FAF" w:rsidP="00B70FAF">
      <w:r w:rsidRPr="00B70FAF">
        <w:t>El mismo procedimiento se aplica dos veces, una por cada escalón: primero cliente↔PUDO o cliente↔microhub (el "último tramo"), y si tienes varios centros de consolidación cubriendo distintos distritos de Barcelona, otra vez a nivel superior, PUDO/microhub↔CC (agregando la demanda de cada PUDO/microhub como si fuera un "cliente" grande de ese centro). Así construyes la jerarquía completa con la misma lógica, y queda toda respaldada por Pérez-Bernabeu et al. (2015), Quintero-Araujo et al. (2017) y Almouhanna et al. (2020) — las tres del mismo entorno de coautoría.</w:t>
      </w:r>
    </w:p>
    <w:p w14:paraId="01B0E46B" w14:textId="77777777" w:rsidR="002772D0" w:rsidRDefault="002772D0"/>
    <w:sectPr w:rsidR="002772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FAF"/>
    <w:rsid w:val="002772D0"/>
    <w:rsid w:val="005E0E89"/>
    <w:rsid w:val="00986DDE"/>
    <w:rsid w:val="00B70FAF"/>
    <w:rsid w:val="00FC16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92D1"/>
  <w15:chartTrackingRefBased/>
  <w15:docId w15:val="{3AC0AC78-11E7-457E-9972-ECC009E43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F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F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F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F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F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F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F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F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F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F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FAF"/>
    <w:rPr>
      <w:rFonts w:eastAsiaTheme="majorEastAsia" w:cstheme="majorBidi"/>
      <w:color w:val="272727" w:themeColor="text1" w:themeTint="D8"/>
    </w:rPr>
  </w:style>
  <w:style w:type="paragraph" w:styleId="Title">
    <w:name w:val="Title"/>
    <w:basedOn w:val="Normal"/>
    <w:next w:val="Normal"/>
    <w:link w:val="TitleChar"/>
    <w:uiPriority w:val="10"/>
    <w:qFormat/>
    <w:rsid w:val="00B70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FAF"/>
    <w:pPr>
      <w:spacing w:before="160"/>
      <w:jc w:val="center"/>
    </w:pPr>
    <w:rPr>
      <w:i/>
      <w:iCs/>
      <w:color w:val="404040" w:themeColor="text1" w:themeTint="BF"/>
    </w:rPr>
  </w:style>
  <w:style w:type="character" w:customStyle="1" w:styleId="QuoteChar">
    <w:name w:val="Quote Char"/>
    <w:basedOn w:val="DefaultParagraphFont"/>
    <w:link w:val="Quote"/>
    <w:uiPriority w:val="29"/>
    <w:rsid w:val="00B70FAF"/>
    <w:rPr>
      <w:i/>
      <w:iCs/>
      <w:color w:val="404040" w:themeColor="text1" w:themeTint="BF"/>
    </w:rPr>
  </w:style>
  <w:style w:type="paragraph" w:styleId="ListParagraph">
    <w:name w:val="List Paragraph"/>
    <w:basedOn w:val="Normal"/>
    <w:uiPriority w:val="34"/>
    <w:qFormat/>
    <w:rsid w:val="00B70FAF"/>
    <w:pPr>
      <w:ind w:left="720"/>
      <w:contextualSpacing/>
    </w:pPr>
  </w:style>
  <w:style w:type="character" w:styleId="IntenseEmphasis">
    <w:name w:val="Intense Emphasis"/>
    <w:basedOn w:val="DefaultParagraphFont"/>
    <w:uiPriority w:val="21"/>
    <w:qFormat/>
    <w:rsid w:val="00B70FAF"/>
    <w:rPr>
      <w:i/>
      <w:iCs/>
      <w:color w:val="2F5496" w:themeColor="accent1" w:themeShade="BF"/>
    </w:rPr>
  </w:style>
  <w:style w:type="paragraph" w:styleId="IntenseQuote">
    <w:name w:val="Intense Quote"/>
    <w:basedOn w:val="Normal"/>
    <w:next w:val="Normal"/>
    <w:link w:val="IntenseQuoteChar"/>
    <w:uiPriority w:val="30"/>
    <w:qFormat/>
    <w:rsid w:val="00B70F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FAF"/>
    <w:rPr>
      <w:i/>
      <w:iCs/>
      <w:color w:val="2F5496" w:themeColor="accent1" w:themeShade="BF"/>
    </w:rPr>
  </w:style>
  <w:style w:type="character" w:styleId="IntenseReference">
    <w:name w:val="Intense Reference"/>
    <w:basedOn w:val="DefaultParagraphFont"/>
    <w:uiPriority w:val="32"/>
    <w:qFormat/>
    <w:rsid w:val="00B70F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480</Words>
  <Characters>2641</Characters>
  <Application>Microsoft Office Word</Application>
  <DocSecurity>0</DocSecurity>
  <Lines>22</Lines>
  <Paragraphs>6</Paragraphs>
  <ScaleCrop>false</ScaleCrop>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Soto Ramos | Idrica</dc:creator>
  <cp:keywords/>
  <dc:description/>
  <cp:lastModifiedBy>Mario Soto Ramos | Idrica</cp:lastModifiedBy>
  <cp:revision>1</cp:revision>
  <dcterms:created xsi:type="dcterms:W3CDTF">2026-07-28T11:08:00Z</dcterms:created>
  <dcterms:modified xsi:type="dcterms:W3CDTF">2026-07-28T11:09:00Z</dcterms:modified>
</cp:coreProperties>
</file>