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FAC" w:sz="12" w:space="1"/>
        </w:pBdr>
        <w:spacing w:after="120" w:before="0"/>
      </w:pPr>
      <w:r>
        <w:rPr>
          <w:rFonts w:ascii="Arial" w:cs="Arial" w:eastAsia="Arial" w:hAnsi="Arial"/>
          <w:b/>
          <w:bCs/>
          <w:color w:val="1F3864"/>
          <w:sz w:val="44"/>
          <w:szCs w:val="44"/>
        </w:rPr>
        <w:t xml:space="preserve">3.1  Compatibilidad de Recursos</w:t>
      </w:r>
    </w:p>
    <w:p>
      <w:pPr>
        <w:spacing w:after="160" w:before="20"/>
      </w:pPr>
      <w:r>
        <w:rPr>
          <w:rFonts w:ascii="Arial" w:cs="Arial" w:eastAsia="Arial" w:hAnsi="Arial"/>
          <w:i/>
          <w:iCs/>
          <w:color w:val="555555"/>
          <w:sz w:val="18"/>
          <w:szCs w:val="18"/>
        </w:rPr>
        <w:t xml:space="preserve">Proyecto ALMA – Altavoz Inteligente de Mesa  |  Entregable 2: Análisis de Consistencia e Interdependencias</w:t>
      </w:r>
    </w:p>
    <w:p>
      <w:pPr>
        <w:pStyle w:val="Heading2"/>
        <w:spacing w:after="120" w:before="240"/>
      </w:pPr>
      <w:r>
        <w:rPr>
          <w:rFonts w:ascii="Arial" w:cs="Arial" w:eastAsia="Arial" w:hAnsi="Arial"/>
          <w:b/>
          <w:bCs/>
          <w:color w:val="2E5FAC"/>
          <w:sz w:val="28"/>
          <w:szCs w:val="28"/>
        </w:rPr>
        <w:t xml:space="preserve">1. Introducción</w:t>
      </w:r>
    </w:p>
    <w:p>
      <w:pPr>
        <w:spacing w:after="80" w:before="80"/>
      </w:pPr>
      <w:r>
        <w:rPr>
          <w:rFonts w:ascii="Arial" w:cs="Arial" w:eastAsia="Arial" w:hAnsi="Arial"/>
          <w:b w:val="false"/>
          <w:bCs w:val="false"/>
          <w:i w:val="false"/>
          <w:iCs w:val="false"/>
          <w:color w:val="000000"/>
          <w:sz w:val="20"/>
          <w:szCs w:val="20"/>
        </w:rPr>
        <w:t xml:space="preserve">El presente análisis de compatibilidad de recursos tiene como objetivo verificar si las especificaciones técnicas derivadas de los requisitos de ALMA comparten recursos críticos del sistema y si dicha compartición puede generar conflictos, cuellos de botella o compromisos de diseño que deban resolverse en la arquitectura. En un sistema embebido de la complejidad de ALMA —que integra captura de voz far-field, reproducción de audio HD, interfaz gráfica táctil MIPI DSI, conectividad Wi-Fi/Bluetooth, iluminación RGB, persistencia cifrada de configuración, batería recargable y seguridad eléctrica y cibernética— múltiples funciones concurren simultáneamente sobre los mismos subsistemas de hardware: el SoC ARM64, el bus I2S, los recursos RF, la topología de alimentación y el almacenamiento no volátil, entre otros.</w:t>
      </w:r>
    </w:p>
    <w:p>
      <w:pPr>
        <w:spacing w:after="60" w:before="60"/>
      </w:pPr>
      <w:r>
        <w:t xml:space="preserve"/>
      </w:r>
    </w:p>
    <w:p>
      <w:pPr>
        <w:spacing w:after="80" w:before="80"/>
      </w:pPr>
      <w:r>
        <w:rPr>
          <w:rFonts w:ascii="Arial" w:cs="Arial" w:eastAsia="Arial" w:hAnsi="Arial"/>
          <w:b w:val="false"/>
          <w:bCs w:val="false"/>
          <w:i w:val="false"/>
          <w:iCs w:val="false"/>
          <w:color w:val="000000"/>
          <w:sz w:val="20"/>
          <w:szCs w:val="20"/>
        </w:rPr>
        <w:t xml:space="preserve">La importancia de este análisis reside en que la viabilidad técnica del producto no depende únicamente de que cada requisito sea individualmente realizable, sino de que el conjunto de requisitos sea mutuamente compatible bajo las mismas restricciones de recursos. Una omisión en esta verificación puede derivar en arquitecturas que no satisfacen simultáneamente los requisitos de consumo (NFR-002, NFR-005), latencia (NFR-003), seguridad (STD-007, STD-008) o calidad de audio (FR-001, FR-002, FR-003). El análisis que sigue identifica estas tensiones de manera explícita y propone criterios de diseño para mitigarlas.</w:t>
      </w:r>
    </w:p>
    <w:p>
      <w:pPr>
        <w:spacing w:after="60" w:before="60"/>
      </w:pPr>
      <w:r>
        <w:t xml:space="preserve"/>
      </w:r>
    </w:p>
    <w:p>
      <w:pPr>
        <w:pStyle w:val="Heading2"/>
        <w:spacing w:after="120" w:before="240"/>
      </w:pPr>
      <w:r>
        <w:rPr>
          <w:rFonts w:ascii="Arial" w:cs="Arial" w:eastAsia="Arial" w:hAnsi="Arial"/>
          <w:b/>
          <w:bCs/>
          <w:color w:val="2E5FAC"/>
          <w:sz w:val="28"/>
          <w:szCs w:val="28"/>
        </w:rPr>
        <w:t xml:space="preserve">2. Tabla de compatibilidad de recursos</w:t>
      </w:r>
    </w:p>
    <w:p>
      <w:pPr>
        <w:spacing w:after="80" w:before="80"/>
      </w:pPr>
      <w:r>
        <w:rPr>
          <w:rFonts w:ascii="Arial" w:cs="Arial" w:eastAsia="Arial" w:hAnsi="Arial"/>
          <w:b w:val="false"/>
          <w:bCs w:val="false"/>
          <w:i w:val="false"/>
          <w:iCs w:val="false"/>
          <w:color w:val="000000"/>
          <w:sz w:val="20"/>
          <w:szCs w:val="20"/>
        </w:rPr>
        <w:t xml:space="preserve">La siguiente tabla cruza los recursos físicos y lógicos críticos del sistema ALMA con los requisitos que los utilizan, identificando para cada uno los riesgos de compatibilidad, el impacto técnico potencial y las medidas de diseño recomendadas. Los códigos de requisito corresponden al Documento de Requisitos del Producto v1.1 del Equipo Faraday (Entregable 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1700"/>
        <w:gridCol w:w="1680"/>
        <w:gridCol w:w="1680"/>
      </w:tblGrid>
      <w:tr>
        <w:trPr>
          <w:tblHeader/>
        </w:trPr>
        <w:tc>
          <w:tcPr>
            <w:tcW w:type="dxa" w:w="22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top"/>
          </w:tcPr>
          <w:p>
            <w:pPr>
              <w:jc w:val="left"/>
            </w:pPr>
            <w:r>
              <w:rPr>
                <w:rFonts w:ascii="Arial" w:cs="Arial" w:eastAsia="Arial" w:hAnsi="Arial"/>
                <w:b/>
                <w:bCs/>
                <w:color w:val="1F3864"/>
                <w:sz w:val="18"/>
                <w:szCs w:val="18"/>
              </w:rPr>
              <w:t xml:space="preserve">Recurso crítico</w:t>
            </w:r>
          </w:p>
        </w:tc>
        <w:tc>
          <w:tcPr>
            <w:tcW w:type="dxa" w:w="21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top"/>
          </w:tcPr>
          <w:p>
            <w:pPr>
              <w:jc w:val="left"/>
            </w:pPr>
            <w:r>
              <w:rPr>
                <w:rFonts w:ascii="Arial" w:cs="Arial" w:eastAsia="Arial" w:hAnsi="Arial"/>
                <w:b/>
                <w:bCs/>
                <w:color w:val="1F3864"/>
                <w:sz w:val="18"/>
                <w:szCs w:val="18"/>
              </w:rPr>
              <w:t xml:space="preserve">Requisitos relacionados</w:t>
            </w:r>
          </w:p>
        </w:tc>
        <w:tc>
          <w:tcPr>
            <w:tcW w:type="dxa" w:w="17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top"/>
          </w:tcPr>
          <w:p>
            <w:pPr>
              <w:jc w:val="left"/>
            </w:pPr>
            <w:r>
              <w:rPr>
                <w:rFonts w:ascii="Arial" w:cs="Arial" w:eastAsia="Arial" w:hAnsi="Arial"/>
                <w:b/>
                <w:bCs/>
                <w:color w:val="1F3864"/>
                <w:sz w:val="18"/>
                <w:szCs w:val="18"/>
              </w:rPr>
              <w:t xml:space="preserve">Posible riesgo de compatibilidad</w:t>
            </w:r>
          </w:p>
        </w:tc>
        <w:tc>
          <w:tcPr>
            <w:tcW w:type="dxa" w:w="168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top"/>
          </w:tcPr>
          <w:p>
            <w:pPr>
              <w:jc w:val="left"/>
            </w:pPr>
            <w:r>
              <w:rPr>
                <w:rFonts w:ascii="Arial" w:cs="Arial" w:eastAsia="Arial" w:hAnsi="Arial"/>
                <w:b/>
                <w:bCs/>
                <w:color w:val="1F3864"/>
                <w:sz w:val="18"/>
                <w:szCs w:val="18"/>
              </w:rPr>
              <w:t xml:space="preserve">Impacto técnico</w:t>
            </w:r>
          </w:p>
        </w:tc>
        <w:tc>
          <w:tcPr>
            <w:tcW w:type="dxa" w:w="168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top"/>
          </w:tcPr>
          <w:p>
            <w:pPr>
              <w:jc w:val="left"/>
            </w:pPr>
            <w:r>
              <w:rPr>
                <w:rFonts w:ascii="Arial" w:cs="Arial" w:eastAsia="Arial" w:hAnsi="Arial"/>
                <w:b/>
                <w:bCs/>
                <w:color w:val="1F3864"/>
                <w:sz w:val="18"/>
                <w:szCs w:val="18"/>
              </w:rPr>
              <w:t xml:space="preserve">Medida recomendada</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SoC ARM64 / CPU / procesamiento</w:t>
            </w:r>
          </w:p>
        </w:tc>
        <w:tc>
          <w:tcPr>
            <w:tcW w:type="dxa" w:w="21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FR-001, FR-002, FR-003, FR-004, FR-005, FR-006, FR-007, FR-008, FR-009, FR-010, FR-011, FR-012, NFR-001, NFR-003</w:t>
            </w:r>
          </w:p>
        </w:tc>
        <w:tc>
          <w:tcPr>
            <w:tcW w:type="dxa" w:w="17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Contención de CPU al ejecutar simultáneamente procesamiento ASR, decodificación de audio, renderizado GUI, gestión de conectividad y wake-word</w:t>
            </w:r>
          </w:p>
        </w:tc>
        <w:tc>
          <w:tcPr>
            <w:tcW w:type="dxa" w:w="168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Degradación de la latencia de respuesta (NFR-003 &lt; 2 s) y del tiempo de arranque (NFR-001 &lt; 15 s) bajo carga simultánea</w:t>
            </w:r>
          </w:p>
        </w:tc>
        <w:tc>
          <w:tcPr>
            <w:tcW w:type="dxa" w:w="168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Seleccionar SoC con múltiples núcleos y soporte de aceleración de audio/DSP; asignar prioridades de proceso y núcleos dedicados por subsistema</w:t>
            </w:r>
          </w:p>
        </w:tc>
      </w:tr>
      <w:tr>
        <w:tc>
          <w:tcPr>
            <w:tcW w:type="dxa" w:w="22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Memoria RAM</w:t>
            </w:r>
          </w:p>
        </w:tc>
        <w:tc>
          <w:tcPr>
            <w:tcW w:type="dxa" w:w="21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FR-001, FR-003, FR-004, NFR-001, NFR-003, STD-007</w:t>
            </w:r>
          </w:p>
        </w:tc>
        <w:tc>
          <w:tcPr>
            <w:tcW w:type="dxa" w:w="17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Insuficiencia de RAM al ejecutar concurrentemente: pipeline ASR, decodificadores de audio FLAC/AAC, compositor gráfico Linux (Wayland/X11) y pila de red</w:t>
            </w:r>
          </w:p>
        </w:tc>
        <w:tc>
          <w:tcPr>
            <w:tcW w:type="dxa" w:w="168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Saturación de memoria, swapping en almacenamiento no volátil (impacto en vida útil de flash) y degradación de latencia</w:t>
            </w:r>
          </w:p>
        </w:tc>
        <w:tc>
          <w:tcPr>
            <w:tcW w:type="dxa" w:w="168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Dimensionar RAM considerando la suma de los footprints de todos los procesos activos en el peor caso; evitar swap sobre eMMC como mecanismo de manejo de RAM</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Almacenamiento no volátil (eMMC / NAND flash)</w:t>
            </w:r>
          </w:p>
        </w:tc>
        <w:tc>
          <w:tcPr>
            <w:tcW w:type="dxa" w:w="21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FR-008, NFR-001, STD-007, STD-008</w:t>
            </w:r>
          </w:p>
        </w:tc>
        <w:tc>
          <w:tcPr>
            <w:tcW w:type="dxa" w:w="17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Escrituras simultáneas de log del sistema, actualización de configuración y rotación de credenciales cifradas afectan el ciclo de vida de la flash</w:t>
            </w:r>
          </w:p>
        </w:tc>
        <w:tc>
          <w:tcPr>
            <w:tcW w:type="dxa" w:w="168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Degradación prematura de la memoria; lentitud de arranque si el rootfs es lento; corrupción de configuración ante corte eléctrico durante escritura</w:t>
            </w:r>
          </w:p>
        </w:tc>
        <w:tc>
          <w:tcPr>
            <w:tcW w:type="dxa" w:w="168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Usar sistema de archivos con journaling (ext4, f2fs); implementar partición separada para credenciales con cifrado (LUKS o enclave seguro); asegurar escrituras atómicas</w:t>
            </w:r>
          </w:p>
        </w:tc>
      </w:tr>
      <w:tr>
        <w:tc>
          <w:tcPr>
            <w:tcW w:type="dxa" w:w="22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Bus I2S / ruta de audio digital</w:t>
            </w:r>
          </w:p>
        </w:tc>
        <w:tc>
          <w:tcPr>
            <w:tcW w:type="dxa" w:w="21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FR-001, FR-002, FR-003, NFR-003</w:t>
            </w:r>
          </w:p>
        </w:tc>
        <w:tc>
          <w:tcPr>
            <w:tcW w:type="dxa" w:w="17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Compartición del bus I2S entre el códec de salida estéreo y el arreglo de micrófonos far-field si se usan canales I2S independientes; contención de reloj MCLK</w:t>
            </w:r>
          </w:p>
        </w:tc>
        <w:tc>
          <w:tcPr>
            <w:tcW w:type="dxa" w:w="168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Glitches de audio, pérdida de frames o interferencia entre ruta de captura y de reproducción, violando FR-002 (24 bit/96 kHz)</w:t>
            </w:r>
          </w:p>
        </w:tc>
        <w:tc>
          <w:tcPr>
            <w:tcW w:type="dxa" w:w="168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Reservar controladores I2S independientes para captura (micrófonos) y reproducción (códec); o usar un códec con canales TDM diferenciados para ambas rutas</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Canales de audio: micrófonos / códec / amplificador</w:t>
            </w:r>
          </w:p>
        </w:tc>
        <w:tc>
          <w:tcPr>
            <w:tcW w:type="dxa" w:w="21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FR-001, FR-002, FR-003, NFR-002, NFR-003, ENV-001</w:t>
            </w:r>
          </w:p>
        </w:tc>
        <w:tc>
          <w:tcPr>
            <w:tcW w:type="dxa" w:w="17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El ruido eléctrico del amplificador de potencia y de la fuente conmutada puede acoplar al camino de captura far-field, degradando la SNR del arreglo de micrófonos</w:t>
            </w:r>
          </w:p>
        </w:tc>
        <w:tc>
          <w:tcPr>
            <w:tcW w:type="dxa" w:w="168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Reducción de la tasa de reconocimiento de palabra de activación (FR-001 exige ≥ 90% a 3 m / 50 dB); incremento de THD si hay acoplamiento de RFI a la salida</w:t>
            </w:r>
          </w:p>
        </w:tc>
        <w:tc>
          <w:tcPr>
            <w:tcW w:type="dxa" w:w="168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Separar físicamente y mediante planos de tierra la etapa de entrada de micrófonos de la etapa de amplificación de salida; usar reguladores de baja emisión (LDO) en la alimentación analógica</w:t>
            </w:r>
          </w:p>
        </w:tc>
      </w:tr>
      <w:tr>
        <w:tc>
          <w:tcPr>
            <w:tcW w:type="dxa" w:w="22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Interfaz MIPI DSI (pantalla táctil)</w:t>
            </w:r>
          </w:p>
        </w:tc>
        <w:tc>
          <w:tcPr>
            <w:tcW w:type="dxa" w:w="21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FR-004, FR-005, GUI-001, GUI-002, GUI-003, GUI-004, GUI-005, NFR-002</w:t>
            </w:r>
          </w:p>
        </w:tc>
        <w:tc>
          <w:tcPr>
            <w:tcW w:type="dxa" w:w="17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El controlador MIPI DSI compite con el SoC en el bus de memoria y en el subsistema de reloj; el consumo de la retroiluminación impacta el presupuesto de potencia en operación máxima</w:t>
            </w:r>
          </w:p>
        </w:tc>
        <w:tc>
          <w:tcPr>
            <w:tcW w:type="dxa" w:w="168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Artefactos visuales durante picos de carga de CPU; contribución significativa al consumo total (NFR-002 &lt; 20 W) cuando la pantalla opera a brillo máximo</w:t>
            </w:r>
          </w:p>
        </w:tc>
        <w:tc>
          <w:tcPr>
            <w:tcW w:type="dxa" w:w="168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Asegurar que el SoC ARM64 disponga de controlador MIPI DSI nativo con soporte DMA; definir niveles de brillo adaptativo para reducir consumo en reposo</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Interfaz táctil (I2C o SPI)</w:t>
            </w:r>
          </w:p>
        </w:tc>
        <w:tc>
          <w:tcPr>
            <w:tcW w:type="dxa" w:w="21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FR-005, GUI-002, GUI-004, GUI-005, STD-002</w:t>
            </w:r>
          </w:p>
        </w:tc>
        <w:tc>
          <w:tcPr>
            <w:tcW w:type="dxa" w:w="17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Si el controlador táctil comparte el bus I2C con otros periféricos (sensor de temperatura, LED driver, módulo de carga), la latencia de lectura puede superar los 750 ms exigidos en GUI-002</w:t>
            </w:r>
          </w:p>
        </w:tc>
        <w:tc>
          <w:tcPr>
            <w:tcW w:type="dxa" w:w="168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Eventos táctiles perdidos o con latencia excesiva que comprometen la usabilidad de la GUI y el wizard de configuración (FR-012)</w:t>
            </w:r>
          </w:p>
        </w:tc>
        <w:tc>
          <w:tcPr>
            <w:tcW w:type="dxa" w:w="168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Asignar un bus I2C dedicado al controlador táctil o priorizar sus transacciones; dimensionar la velocidad del bus (400 kHz Fast Mode como mínimo)</w:t>
            </w:r>
          </w:p>
        </w:tc>
      </w:tr>
      <w:tr>
        <w:tc>
          <w:tcPr>
            <w:tcW w:type="dxa" w:w="22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GPIO para botones físicos</w:t>
            </w:r>
          </w:p>
        </w:tc>
        <w:tc>
          <w:tcPr>
            <w:tcW w:type="dxa" w:w="21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FR-009, FR-010, STD-002, STD-010</w:t>
            </w:r>
          </w:p>
        </w:tc>
        <w:tc>
          <w:tcPr>
            <w:tcW w:type="dxa" w:w="17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Si los GPIOs comparten banco con líneas de alta velocidad o RF, puede haber acoplamiento de ruido; la latencia de atención por software puede superar los 200 ms de FR-009</w:t>
            </w:r>
          </w:p>
        </w:tc>
        <w:tc>
          <w:tcPr>
            <w:tcW w:type="dxa" w:w="168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Fallos de detección de pulsación o tiempo de respuesta fuera de especificación; riesgo de activación involuntaria por ESD si no se protegen las líneas (STD-002)</w:t>
            </w:r>
          </w:p>
        </w:tc>
        <w:tc>
          <w:tcPr>
            <w:tcW w:type="dxa" w:w="168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Usar GPIOs con interrupción de flanco; implementar debounce por hardware (RC) y por software; instalar protección ESD TVS en cada línea accesible al usuario</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PWM / controlador de iluminación RGB</w:t>
            </w:r>
          </w:p>
        </w:tc>
        <w:tc>
          <w:tcPr>
            <w:tcW w:type="dxa" w:w="21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FR-006, NFR-002, NFR-005, STD-003</w:t>
            </w:r>
          </w:p>
        </w:tc>
        <w:tc>
          <w:tcPr>
            <w:tcW w:type="dxa" w:w="17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Si los canales PWM son generados por software en la CPU (bit-banging), consumen ciclos de CPU que compiten con el procesamiento de voz y la GUI; los transitorios de conmutación de la iluminación generan ruido eléctrico</w:t>
            </w:r>
          </w:p>
        </w:tc>
        <w:tc>
          <w:tcPr>
            <w:tcW w:type="dxa" w:w="168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Degradación de la calidad de audio y de la latencia de respuesta; perturbación del nivel de consumo en reposo (NFR-005 &lt; 4 W) si RGB permanece encendido</w:t>
            </w:r>
          </w:p>
        </w:tc>
        <w:tc>
          <w:tcPr>
            <w:tcW w:type="dxa" w:w="168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Usar driver PWM dedicado vía I2C (no bit-banging) para descargar la CPU; implementar perfil de apagado de RGB en modo reposo</w:t>
            </w:r>
          </w:p>
        </w:tc>
      </w:tr>
      <w:tr>
        <w:tc>
          <w:tcPr>
            <w:tcW w:type="dxa" w:w="22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Wi-Fi / Bluetooth / recursos RF</w:t>
            </w:r>
          </w:p>
        </w:tc>
        <w:tc>
          <w:tcPr>
            <w:tcW w:type="dxa" w:w="21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FR-007, FR-011, FR-012, NFR-002, STD-005, STD-006, STD-011</w:t>
            </w:r>
          </w:p>
        </w:tc>
        <w:tc>
          <w:tcPr>
            <w:tcW w:type="dxa" w:w="17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Wi-Fi (2.4 GHz) y Bluetooth 5.4 operan en la misma banda ISM, lo que puede generar interferencia mutua; la emisión RF del módulo puede acoplar al arreglo de micrófonos o al bus I2S</w:t>
            </w:r>
          </w:p>
        </w:tc>
        <w:tc>
          <w:tcPr>
            <w:tcW w:type="dxa" w:w="168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Desconexiones o degradación del enlace inalámbrico; reducción de la SNR de los micrófonos durante transmisión Wi-Fi activa; posible incumplimiento de límites EMC si las trazas RF no son de 50 Ω</w:t>
            </w:r>
          </w:p>
        </w:tc>
        <w:tc>
          <w:tcPr>
            <w:tcW w:type="dxa" w:w="168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Preferir módulos con coexistencia Wi-Fi/BT integrada (coexistence arbitration); mantener clearance de antena según guías del fabricante; controlar impedancia de trazas RF a 50 Ω ±10% (STD-005)</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Alimentación, batería y módulo de carga AC</w:t>
            </w:r>
          </w:p>
        </w:tc>
        <w:tc>
          <w:tcPr>
            <w:tcW w:type="dxa" w:w="21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NFR-002, NFR-004, NFR-005, ENV-003, STD-001, STD-003, STD-004</w:t>
            </w:r>
          </w:p>
        </w:tc>
        <w:tc>
          <w:tcPr>
            <w:tcW w:type="dxa" w:w="17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La topología de alimentación debe suplir simultáneamente: SoC, amplificador de audio, pantalla, Wi-Fi, Bluetooth, RGB e iluminación, manteniéndose por debajo de 20 W (NFR-002) y 4 W en reposo (NFR-005)</w:t>
            </w:r>
          </w:p>
        </w:tc>
        <w:tc>
          <w:tcPr>
            <w:tcW w:type="dxa" w:w="168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Sobredimensionamiento de la fuente aumenta costo y tamaño; subdimensionamiento causa caídas de tensión que generan reinicios o distorsión de audio durante picos de carga</w:t>
            </w:r>
          </w:p>
        </w:tc>
        <w:tc>
          <w:tcPr>
            <w:tcW w:type="dxa" w:w="168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Definir presupuesto de potencia por subsistema; dimensionar la fuente con margen del 20-30% sobre la carga máxima simultánea; implementar gestión de energía por estados (DVFS)</w:t>
            </w:r>
          </w:p>
        </w:tc>
      </w:tr>
      <w:tr>
        <w:tc>
          <w:tcPr>
            <w:tcW w:type="dxa" w:w="22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Presupuesto de potencia (máxima carga simultánea)</w:t>
            </w:r>
          </w:p>
        </w:tc>
        <w:tc>
          <w:tcPr>
            <w:tcW w:type="dxa" w:w="21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NFR-002, NFR-005, FR-003, FR-006, FR-007, STD-003</w:t>
            </w:r>
          </w:p>
        </w:tc>
        <w:tc>
          <w:tcPr>
            <w:tcW w:type="dxa" w:w="17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El escenario de máxima carga —audio a 70 dB SPL, pantalla activa, Wi-Fi conectado, RGB encendido y batería en carga— puede superar el límite de 20 W de NFR-002</w:t>
            </w:r>
          </w:p>
        </w:tc>
        <w:tc>
          <w:tcPr>
            <w:tcW w:type="dxa" w:w="168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Imposibilidad de cumplir simultáneamente NFR-002 y NFR-004 sin gestión activa de carga; riesgo de temperatura superficial &gt; 60°C (STD-003) en condición de máxima carga</w:t>
            </w:r>
          </w:p>
        </w:tc>
        <w:tc>
          <w:tcPr>
            <w:tcW w:type="dxa" w:w="168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Establecer tabla de presupuesto por subsistema; inhibir la carga de batería durante operación a máxima potencia si se alcanza el límite térmico; gestionar brillo y RGB como cargas controlables</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Gestión térmica</w:t>
            </w:r>
          </w:p>
        </w:tc>
        <w:tc>
          <w:tcPr>
            <w:tcW w:type="dxa" w:w="21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NFR-002, STD-003, ENV-001, ENV-002</w:t>
            </w:r>
          </w:p>
        </w:tc>
        <w:tc>
          <w:tcPr>
            <w:tcW w:type="dxa" w:w="17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La operación continua a máxima carga en ambientes de hasta 45°C (ENV-001) puede elevar la temperatura superficial por encima del límite de 60°C de STD-003 y activar la protección térmica del SoC</w:t>
            </w:r>
          </w:p>
        </w:tc>
        <w:tc>
          <w:tcPr>
            <w:tcW w:type="dxa" w:w="168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Throttling térmico del SoC que degrada la capacidad de procesamiento de voz y la fluidez de la GUI; incumplimiento del estándar de seguridad eléctrica</w:t>
            </w:r>
          </w:p>
        </w:tc>
        <w:tc>
          <w:tcPr>
            <w:tcW w:type="dxa" w:w="168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Diseñar la disipación térmica con margen para 45°C ambiente; usar materiales de interface térmica entre SoC y carcasa; implementar supervisión de temperatura con acciones de reducción de carga</w:t>
            </w:r>
          </w:p>
        </w:tc>
      </w:tr>
      <w:tr>
        <w:tc>
          <w:tcPr>
            <w:tcW w:type="dxa" w:w="22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Interfaces de depuración (UART / JTAG / SPI)</w:t>
            </w:r>
          </w:p>
        </w:tc>
        <w:tc>
          <w:tcPr>
            <w:tcW w:type="dxa" w:w="21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STD-007, STD-008, NFR-001</w:t>
            </w:r>
          </w:p>
        </w:tc>
        <w:tc>
          <w:tcPr>
            <w:tcW w:type="dxa" w:w="17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Las interfaces de depuración expuestas en producción violan STD-008 y crean vectores de ataque para exfiltración de credenciales almacenadas (STD-007); su habilitación durante el arranque impacta el tiempo de boot</w:t>
            </w:r>
          </w:p>
        </w:tc>
        <w:tc>
          <w:tcPr>
            <w:tcW w:type="dxa" w:w="168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Compromiso total de la seguridad del dispositivo si se accede a la consola UART o al JTAG en campo; violación de ETSI EN 303 645</w:t>
            </w:r>
          </w:p>
        </w:tc>
        <w:tc>
          <w:tcPr>
            <w:tcW w:type="dxa" w:w="168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Deshabilitar JTAG mediante fuses OTP del SoC; suprimir el servicio de consola UART en el arranque de producción; documentar el procedimiento de rehabilitación controlada para mantenimiento</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Almacenamiento seguro de credenciales</w:t>
            </w:r>
          </w:p>
        </w:tc>
        <w:tc>
          <w:tcPr>
            <w:tcW w:type="dxa" w:w="21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FR-008, STD-007, STD-008, STD-011</w:t>
            </w:r>
          </w:p>
        </w:tc>
        <w:tc>
          <w:tcPr>
            <w:tcW w:type="dxa" w:w="17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El tiempo de cifrado/descifrado de credenciales al inicio puede contribuir al tiempo de arranque total y comprometer el cumplimiento de NFR-001 (&lt; 15 s)</w:t>
            </w:r>
          </w:p>
        </w:tc>
        <w:tc>
          <w:tcPr>
            <w:tcW w:type="dxa" w:w="168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Arranque lento si el proceso de montaje de partición cifrada no está optimizado; exposición de credenciales si el mecanismo de cifrado es débil o las interfaces de debug están habilitadas</w:t>
            </w:r>
          </w:p>
        </w:tc>
        <w:tc>
          <w:tcPr>
            <w:tcW w:type="dxa" w:w="168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Usar un enclave seguro o una solución de almacenamiento basada en TPM/hardware si el SoC lo soporta; separar el montaje de la partición cifrada del arranque crítico para no bloquear el inicio de servicios esenciales</w:t>
            </w:r>
          </w:p>
        </w:tc>
      </w:tr>
      <w:tr>
        <w:tc>
          <w:tcPr>
            <w:tcW w:type="dxa" w:w="22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GUI y actualización de estado del sistema</w:t>
            </w:r>
          </w:p>
        </w:tc>
        <w:tc>
          <w:tcPr>
            <w:tcW w:type="dxa" w:w="21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GUI-001, GUI-002, GUI-003, GUI-004, GUI-005, FR-004, FR-005, NFR-003</w:t>
            </w:r>
          </w:p>
        </w:tc>
        <w:tc>
          <w:tcPr>
            <w:tcW w:type="dxa" w:w="17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La GUI debe actualizar simultáneamente indicadores de batería, red, reproducción, micrófono y controles táctiles; el renderizado gráfico compite con el procesamiento de voz en el SoC</w:t>
            </w:r>
          </w:p>
        </w:tc>
        <w:tc>
          <w:tcPr>
            <w:tcW w:type="dxa" w:w="168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Latencia de actualización de indicadores &gt; 1 s (GUI-003); respuesta táctil &gt; 500 ms (GUI-004); degradación de la experiencia de usuario si el render es bloqueante</w:t>
            </w:r>
          </w:p>
        </w:tc>
        <w:tc>
          <w:tcPr>
            <w:tcW w:type="dxa" w:w="168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Usar un compositor gráfico eficiente (Wayland/Weston o equivalente ligero); separar el hilo de renderizado del procesamiento de voz; limitar la tasa de actualización de indicadores de estado a lo estrictamente necesario</w:t>
            </w:r>
          </w:p>
        </w:tc>
      </w:tr>
    </w:tbl>
    <w:p>
      <w:pPr>
        <w:spacing w:after="60" w:before="60"/>
      </w:pPr>
      <w:r>
        <w:t xml:space="preserve"/>
      </w:r>
    </w:p>
    <w:p>
      <w:pPr>
        <w:pStyle w:val="Heading2"/>
        <w:spacing w:after="120" w:before="240"/>
      </w:pPr>
      <w:r>
        <w:rPr>
          <w:rFonts w:ascii="Arial" w:cs="Arial" w:eastAsia="Arial" w:hAnsi="Arial"/>
          <w:b/>
          <w:bCs/>
          <w:color w:val="2E5FAC"/>
          <w:sz w:val="28"/>
          <w:szCs w:val="28"/>
        </w:rPr>
        <w:t xml:space="preserve">3. Análisis por grupos de recursos</w:t>
      </w:r>
    </w:p>
    <w:p>
      <w:pPr>
        <w:pStyle w:val="Heading3"/>
        <w:spacing w:after="80" w:before="180"/>
      </w:pPr>
      <w:r>
        <w:rPr>
          <w:rFonts w:ascii="Arial" w:cs="Arial" w:eastAsia="Arial" w:hAnsi="Arial"/>
          <w:b/>
          <w:bCs/>
          <w:color w:val="2E5FAC"/>
          <w:sz w:val="22"/>
          <w:szCs w:val="22"/>
        </w:rPr>
        <w:t xml:space="preserve">a. Procesamiento y memoria</w:t>
      </w:r>
    </w:p>
    <w:p>
      <w:pPr>
        <w:spacing w:after="80" w:before="80"/>
      </w:pPr>
      <w:r>
        <w:rPr>
          <w:rFonts w:ascii="Arial" w:cs="Arial" w:eastAsia="Arial" w:hAnsi="Arial"/>
          <w:b w:val="false"/>
          <w:bCs w:val="false"/>
          <w:i w:val="false"/>
          <w:iCs w:val="false"/>
          <w:color w:val="000000"/>
          <w:sz w:val="20"/>
          <w:szCs w:val="20"/>
        </w:rPr>
        <w:t xml:space="preserve">El SoC ARM64 es el recurso más crítico y transversal del sistema. Su capacidad de cómputo es demandada de forma concurrente por: el motor de reconocimiento de voz far-field (FR-001), el decodificador de formatos de audio (FR-003), el compositor gráfico y el driver de pantalla (FR-004), el gestor de conectividad Wi-Fi/Bluetooth (FR-007), la lógica de persistencia de configuración (FR-008) y el detector de wake-word que debe permanecer activo en reposo (NFR-005). El requisito de latencia de respuesta de menos de 2 segundos (NFR-003) y el de arranque en menos de 15 segundos (NFR-001) imponen una carga simultánea sobre el procesador que debe verificarse mediante perfilado de carga en el peor caso operativo. La memoria RAM debe dimensionarse contemplando la suma de los footprints de todos estos procesos en ejecución simultánea, incluyendo el sistema operativo Linux, los drivers de kernel y los buffers de audio y red.</w:t>
      </w:r>
    </w:p>
    <w:p>
      <w:pPr>
        <w:spacing w:after="60" w:before="60"/>
      </w:pPr>
      <w:r>
        <w:t xml:space="preserve"/>
      </w:r>
    </w:p>
    <w:p>
      <w:pPr>
        <w:pStyle w:val="Heading3"/>
        <w:spacing w:after="80" w:before="180"/>
      </w:pPr>
      <w:r>
        <w:rPr>
          <w:rFonts w:ascii="Arial" w:cs="Arial" w:eastAsia="Arial" w:hAnsi="Arial"/>
          <w:b/>
          <w:bCs/>
          <w:color w:val="2E5FAC"/>
          <w:sz w:val="22"/>
          <w:szCs w:val="22"/>
        </w:rPr>
        <w:t xml:space="preserve">b. Audio y captura de voz</w:t>
      </w:r>
    </w:p>
    <w:p>
      <w:pPr>
        <w:spacing w:after="80" w:before="80"/>
      </w:pPr>
      <w:r>
        <w:rPr>
          <w:rFonts w:ascii="Arial" w:cs="Arial" w:eastAsia="Arial" w:hAnsi="Arial"/>
          <w:b w:val="false"/>
          <w:bCs w:val="false"/>
          <w:i w:val="false"/>
          <w:iCs w:val="false"/>
          <w:color w:val="000000"/>
          <w:sz w:val="20"/>
          <w:szCs w:val="20"/>
        </w:rPr>
        <w:t xml:space="preserve">El subsistema de audio involucra tres capas que deben ser compatibles entre sí: el arreglo de micrófonos far-field (FR-001), el bus I2S hacia el códec (FR-002) y la cadena de amplificación y reproducción estéreo (FR-003). El riesgo principal de compatibilidad en este grupo es el acoplamiento de ruido eléctrico: el amplificador de potencia y la fuente conmutada DC pueden introducir armónicos que acoplen al camino de captura de los micrófonos, degradando la SNR y reduciendo la tasa de detección de wake-word. El bus I2S debe soportar tramas de 24 bits a 96 kHz (FR-002) y operar de forma estable durante la reproducción simultánea sin que se generen glitches de reloj. Adicionalmente, el módulo Wi-Fi en la banda de 2.4 GHz puede generar interferencia en el arreglo de micrófonos si no se mantiene la separación física adecuada en el PCB. La latencia de respuesta al comando de voz (NFR-003) depende directamente de la capacidad de procesamiento ASR del SoC y de la estabilidad del camino I2S.</w:t>
      </w:r>
    </w:p>
    <w:p>
      <w:pPr>
        <w:spacing w:after="60" w:before="60"/>
      </w:pPr>
      <w:r>
        <w:t xml:space="preserve"/>
      </w:r>
    </w:p>
    <w:p>
      <w:pPr>
        <w:pStyle w:val="Heading3"/>
        <w:spacing w:after="80" w:before="180"/>
      </w:pPr>
      <w:r>
        <w:rPr>
          <w:rFonts w:ascii="Arial" w:cs="Arial" w:eastAsia="Arial" w:hAnsi="Arial"/>
          <w:b/>
          <w:bCs/>
          <w:color w:val="2E5FAC"/>
          <w:sz w:val="22"/>
          <w:szCs w:val="22"/>
        </w:rPr>
        <w:t xml:space="preserve">c. Interfaces de visualización y entrada táctil</w:t>
      </w:r>
    </w:p>
    <w:p>
      <w:pPr>
        <w:spacing w:after="80" w:before="80"/>
      </w:pPr>
      <w:r>
        <w:rPr>
          <w:rFonts w:ascii="Arial" w:cs="Arial" w:eastAsia="Arial" w:hAnsi="Arial"/>
          <w:b w:val="false"/>
          <w:bCs w:val="false"/>
          <w:i w:val="false"/>
          <w:iCs w:val="false"/>
          <w:color w:val="000000"/>
          <w:sz w:val="20"/>
          <w:szCs w:val="20"/>
        </w:rPr>
        <w:t xml:space="preserve">La pantalla MIPI DSI (FR-004) y el controlador táctil capacitivo (FR-005) forman el subsistema de interfaz humano-máquina de ALMA. La interfaz MIPI DSI requiere que el SoC cuente con un controlador nativo con soporte DMA para no bloquear la CPU durante la transferencia de frames. El controlador táctil, que opera típicamente sobre I2C o SPI (FR-005), debe responder con latencia suficiente para cumplir el requisito de actualización de GUI en 750 ms (GUI-002) y las acciones táctiles en 500 ms (GUI-004). Si el bus I2C del controlador táctil es compartido con otros periféricos como el driver de iluminación RGB o el sensor de temperatura, la latencia de arbitración puede comprometer estos requisitos. La GUI debe mostrar simultáneamente el estado del micrófono (GUI-001), el nivel de volumen (GUI-002), el estado de reproducción y conectividad y el nivel de batería (GUI-003), lo que implica un pipeline de renderizado que debe ejecutarse con baja latencia sobre el compositor gráfico del sistema Linux.</w:t>
      </w:r>
    </w:p>
    <w:p>
      <w:pPr>
        <w:spacing w:after="60" w:before="60"/>
      </w:pPr>
      <w:r>
        <w:t xml:space="preserve"/>
      </w:r>
    </w:p>
    <w:p>
      <w:pPr>
        <w:pStyle w:val="Heading3"/>
        <w:spacing w:after="80" w:before="180"/>
      </w:pPr>
      <w:r>
        <w:rPr>
          <w:rFonts w:ascii="Arial" w:cs="Arial" w:eastAsia="Arial" w:hAnsi="Arial"/>
          <w:b/>
          <w:bCs/>
          <w:color w:val="2E5FAC"/>
          <w:sz w:val="22"/>
          <w:szCs w:val="22"/>
        </w:rPr>
        <w:t xml:space="preserve">d. Conectividad inalámbrica y recursos RF</w:t>
      </w:r>
    </w:p>
    <w:p>
      <w:pPr>
        <w:spacing w:after="80" w:before="80"/>
      </w:pPr>
      <w:r>
        <w:rPr>
          <w:rFonts w:ascii="Arial" w:cs="Arial" w:eastAsia="Arial" w:hAnsi="Arial"/>
          <w:b w:val="false"/>
          <w:bCs w:val="false"/>
          <w:i w:val="false"/>
          <w:iCs w:val="false"/>
          <w:color w:val="000000"/>
          <w:sz w:val="20"/>
          <w:szCs w:val="20"/>
        </w:rPr>
        <w:t xml:space="preserve">ALMA integra Wi-Fi en bandas 2.4 GHz y 5 GHz e IEEE 802.11 a/b/g/n/ac, y Bluetooth 5.4 (FR-007). La coexistencia de ambos protocolos en la banda de 2.4 GHz es un riesgo conocido que debe gestionarse mediante mecanismos de arbitración de coexistencia, preferiblemente integrados en el módulo RF seleccionado (STD-006). Las trazas RF en el PCB deben mantener impedancia característica de 50 Ω ±10% (STD-005) y respetar las guías de clearance de antena del fabricante del módulo para no invalidar la certificación FCC/CE (STD-006). Desde el punto de vista del consumo, el módulo Wi-Fi activo en transmisión puede contribuir con varios vatios al presupuesto total, lo que debe considerarse en el análisis del límite de 20 W (NFR-002). Las comunicaciones con servidores externos deben realizarse exclusivamente sobre HTTPS/TLS 1.2+ y la conexión a redes Wi-Fi solo con WPA2 o superior (STD-011), lo que implica una pila TLS activa en el SoC cuyo costo de cómputo debe sumarse a la carga del procesador.</w:t>
      </w:r>
    </w:p>
    <w:p>
      <w:pPr>
        <w:spacing w:after="60" w:before="60"/>
      </w:pPr>
      <w:r>
        <w:t xml:space="preserve"/>
      </w:r>
    </w:p>
    <w:p>
      <w:pPr>
        <w:pStyle w:val="Heading3"/>
        <w:spacing w:after="80" w:before="180"/>
      </w:pPr>
      <w:r>
        <w:rPr>
          <w:rFonts w:ascii="Arial" w:cs="Arial" w:eastAsia="Arial" w:hAnsi="Arial"/>
          <w:b/>
          <w:bCs/>
          <w:color w:val="2E5FAC"/>
          <w:sz w:val="22"/>
          <w:szCs w:val="22"/>
        </w:rPr>
        <w:t xml:space="preserve">e. Alimentación, batería y consumo</w:t>
      </w:r>
    </w:p>
    <w:p>
      <w:pPr>
        <w:spacing w:after="80" w:before="80"/>
      </w:pPr>
      <w:r>
        <w:rPr>
          <w:rFonts w:ascii="Arial" w:cs="Arial" w:eastAsia="Arial" w:hAnsi="Arial"/>
          <w:b w:val="false"/>
          <w:bCs w:val="false"/>
          <w:i w:val="false"/>
          <w:iCs w:val="false"/>
          <w:color w:val="000000"/>
          <w:sz w:val="20"/>
          <w:szCs w:val="20"/>
        </w:rPr>
        <w:t xml:space="preserve">La topología de alimentación es un recurso compartido por absolutamente todos los subsistemas. El peor caso operativo contempla la operación simultánea del SoC a máxima carga, el amplificador de audio a 70 dB SPL, la pantalla a máximo brillo, el módulo Wi-Fi/Bluetooth en transmisión, la iluminación RGB activa y, potencialmente, la carga de la batería desde AC (NFR-004). Este escenario debe mantenerse por debajo de 20 W (NFR-002). En contraste, el estado de reposo —con el wake-word activo, pantalla en modo reducido y conectividad en bajo consumo— debe mantenerse por debajo de 4 W (NFR-005). La tensión entre estos dos requisitos obliga a implementar una gestión activa de energía con perfiles de estado claramente definidos. El módulo de carga AC opera a 110 V RMS / 60 Hz (NFR-004) y debe cumplir con la protección contra sobrecorriente (STD-001), sobretensiones transitorias (STD-004) y temperatura superficial segura (STD-003). La batería debe ser extraíble sin herramientas destructivas (ENV-003), lo que impone restricciones mecánicas al conector y al compartimento.</w:t>
      </w:r>
    </w:p>
    <w:p>
      <w:pPr>
        <w:spacing w:after="60" w:before="60"/>
      </w:pPr>
      <w:r>
        <w:t xml:space="preserve"/>
      </w:r>
    </w:p>
    <w:p>
      <w:pPr>
        <w:pStyle w:val="Heading3"/>
        <w:spacing w:after="80" w:before="180"/>
      </w:pPr>
      <w:r>
        <w:rPr>
          <w:rFonts w:ascii="Arial" w:cs="Arial" w:eastAsia="Arial" w:hAnsi="Arial"/>
          <w:b/>
          <w:bCs/>
          <w:color w:val="2E5FAC"/>
          <w:sz w:val="22"/>
          <w:szCs w:val="22"/>
        </w:rPr>
        <w:t xml:space="preserve">f. Almacenamiento, persistencia y seguridad</w:t>
      </w:r>
    </w:p>
    <w:p>
      <w:pPr>
        <w:spacing w:after="80" w:before="80"/>
      </w:pPr>
      <w:r>
        <w:rPr>
          <w:rFonts w:ascii="Arial" w:cs="Arial" w:eastAsia="Arial" w:hAnsi="Arial"/>
          <w:b w:val="false"/>
          <w:bCs w:val="false"/>
          <w:i w:val="false"/>
          <w:iCs w:val="false"/>
          <w:color w:val="000000"/>
          <w:sz w:val="20"/>
          <w:szCs w:val="20"/>
        </w:rPr>
        <w:t xml:space="preserve">El almacenamiento no volátil es utilizado por: el sistema de archivos del sistema operativo Linux, la partición de configuración de usuario (FR-008), el almacenamiento de credenciales cifradas (STD-007) y los logs del sistema. La escritura concurrente de logs y la actualización de configuración durante ciclos de apagado súbito exige un sistema de archivos con journaling para garantizar la consistencia de datos (FR-008 exige recuperación correcta en el 100% de los ciclos). El almacenamiento de credenciales debe implementarse en una partición con cifrado robusto (LUKS o enclave seguro), cuyo proceso de montaje en el arranque no debe comprometer el tiempo de inicio del servicio de voz (NFR-001 &lt; 15 s). Las interfaces de depuración físicas —UART, JTAG, SPI— que dan acceso potencial a la memoria de credenciales deben estar deshabilitadas en el firmware de producción (STD-008), evitando que representen vectores de ataque (STD-007).</w:t>
      </w:r>
    </w:p>
    <w:p>
      <w:pPr>
        <w:spacing w:after="60" w:before="60"/>
      </w:pPr>
      <w:r>
        <w:t xml:space="preserve"/>
      </w:r>
    </w:p>
    <w:p>
      <w:pPr>
        <w:pStyle w:val="Heading3"/>
        <w:spacing w:after="80" w:before="180"/>
      </w:pPr>
      <w:r>
        <w:rPr>
          <w:rFonts w:ascii="Arial" w:cs="Arial" w:eastAsia="Arial" w:hAnsi="Arial"/>
          <w:b/>
          <w:bCs/>
          <w:color w:val="2E5FAC"/>
          <w:sz w:val="22"/>
          <w:szCs w:val="22"/>
        </w:rPr>
        <w:t xml:space="preserve">g. Recursos de control físico, GPIO y PWM</w:t>
      </w:r>
    </w:p>
    <w:p>
      <w:pPr>
        <w:spacing w:after="80" w:before="80"/>
      </w:pPr>
      <w:r>
        <w:rPr>
          <w:rFonts w:ascii="Arial" w:cs="Arial" w:eastAsia="Arial" w:hAnsi="Arial"/>
          <w:b w:val="false"/>
          <w:bCs w:val="false"/>
          <w:i w:val="false"/>
          <w:iCs w:val="false"/>
          <w:color w:val="000000"/>
          <w:sz w:val="20"/>
          <w:szCs w:val="20"/>
        </w:rPr>
        <w:t xml:space="preserve">Los botones físicos de volumen (FR-009) y el interruptor de mute del micrófono (FR-010, STD-010) operan sobre GPIOs del SoC. Las líneas GPIO de botones son accesibles al usuario y deben estar protegidas contra descargas electrostáticas de al menos ±8 kV por contacto (STD-002). La latencia de respuesta de los botones (≤ 200 ms, FR-009) exige que las interrupciones GPIO sean atendidas con alta prioridad por el sistema operativo, sin interferencia de otros procesos de alta carga como el renderizado gráfico. La iluminación RGB requiere señales PWM independientes por canal R, G y B (FR-006); si estos canales son generados mediante bit-banging en software, consumen ciclos de CPU que compiten con el procesamiento de voz y la GUI. La solución recomendada es un driver PWM dedicado con interfaz I2C o un controlador de LEDs independiente, que descargue completamente al SoC de la generación de señales PWM.</w:t>
      </w:r>
    </w:p>
    <w:p>
      <w:pPr>
        <w:spacing w:after="60" w:before="60"/>
      </w:pPr>
      <w:r>
        <w:t xml:space="preserve"/>
      </w:r>
    </w:p>
    <w:p>
      <w:pPr>
        <w:pStyle w:val="Heading3"/>
        <w:spacing w:after="80" w:before="180"/>
      </w:pPr>
      <w:r>
        <w:rPr>
          <w:rFonts w:ascii="Arial" w:cs="Arial" w:eastAsia="Arial" w:hAnsi="Arial"/>
          <w:b/>
          <w:bCs/>
          <w:color w:val="2E5FAC"/>
          <w:sz w:val="22"/>
          <w:szCs w:val="22"/>
        </w:rPr>
        <w:t xml:space="preserve">h. Gestión térmica y operación ambiental</w:t>
      </w:r>
    </w:p>
    <w:p>
      <w:pPr>
        <w:spacing w:after="80" w:before="80"/>
      </w:pPr>
      <w:r>
        <w:rPr>
          <w:rFonts w:ascii="Arial" w:cs="Arial" w:eastAsia="Arial" w:hAnsi="Arial"/>
          <w:b w:val="false"/>
          <w:bCs w:val="false"/>
          <w:i w:val="false"/>
          <w:iCs w:val="false"/>
          <w:color w:val="000000"/>
          <w:sz w:val="20"/>
          <w:szCs w:val="20"/>
        </w:rPr>
        <w:t xml:space="preserve">ALMA debe operar sin errores funcionales entre 0°C y 45°C (ENV-001) y hasta 90% de humedad relativa (ENV-002). El escenario más crítico desde el punto de vista térmico es la operación a máxima carga con temperatura ambiente de 45°C, en el que la temperatura de unión del SoC, del amplificador de audio y del módulo Wi-Fi debe mantenerse dentro de los límites de sus especificaciones de operación. Las superficies accesibles al usuario no deben superar 60°C (STD-003), lo que impone restricciones a la conductividad térmica de la carcasa y al diseño de los disipadores. Si el sistema activa el throttling térmico del SoC para proteger los componentes, la capacidad de procesamiento de voz y la fluidez de la GUI se degradan, lo que puede entrar en conflicto con NFR-003 (latencia &lt; 2 s). La gestión térmica debe, por tanto, contemplarse como un requisito de diseño transversal y no como una característica opcional.</w:t>
      </w:r>
    </w:p>
    <w:p>
      <w:pPr>
        <w:spacing w:after="60" w:before="60"/>
      </w:pPr>
      <w:r>
        <w:t xml:space="preserve"/>
      </w:r>
    </w:p>
    <w:p>
      <w:pPr>
        <w:pStyle w:val="Heading3"/>
        <w:spacing w:after="80" w:before="180"/>
      </w:pPr>
      <w:r>
        <w:rPr>
          <w:rFonts w:ascii="Arial" w:cs="Arial" w:eastAsia="Arial" w:hAnsi="Arial"/>
          <w:b/>
          <w:bCs/>
          <w:color w:val="2E5FAC"/>
          <w:sz w:val="22"/>
          <w:szCs w:val="22"/>
        </w:rPr>
        <w:t xml:space="preserve">i. Interfaces de depuración y ciberseguridad</w:t>
      </w:r>
    </w:p>
    <w:p>
      <w:pPr>
        <w:spacing w:after="80" w:before="80"/>
      </w:pPr>
      <w:r>
        <w:rPr>
          <w:rFonts w:ascii="Arial" w:cs="Arial" w:eastAsia="Arial" w:hAnsi="Arial"/>
          <w:b w:val="false"/>
          <w:bCs w:val="false"/>
          <w:i w:val="false"/>
          <w:iCs w:val="false"/>
          <w:color w:val="000000"/>
          <w:sz w:val="20"/>
          <w:szCs w:val="20"/>
        </w:rPr>
        <w:t xml:space="preserve">Las interfaces UART, JTAG y SPI de programación representan el único vector de acceso físico directo a la memoria y al sistema de archivos del dispositivo. ETSI EN 303 645 (STD-008) exige que estas interfaces estén deshabilitadas o protegidas con autenticación en el firmware de producción. Su deshabilitación mediante fuses OTP del SoC es el mecanismo más robusto, ya que es irreversible por software. En paralelo, todas las credenciales almacenadas —contraseñas de red Wi-Fi y tokens de servicios— deben cifrarse con acceso restringido (STD-007), y todas las comunicaciones externas deben usar cifrado en tránsito TLS 1.2+ (STD-011). La habilitación de estas interfaces de depuración durante el desarrollo implica que el firmware de producción debe generarse con una configuración de compilación distinta y verificada, que garantice la aplicación de todas estas restricciones antes de la entrega del producto.</w:t>
      </w:r>
    </w:p>
    <w:p>
      <w:pPr>
        <w:spacing w:after="60" w:before="60"/>
      </w:pPr>
      <w:r>
        <w:t xml:space="preserve"/>
      </w:r>
    </w:p>
    <w:p>
      <w:pPr>
        <w:pStyle w:val="Heading2"/>
        <w:spacing w:after="120" w:before="240"/>
      </w:pPr>
      <w:r>
        <w:rPr>
          <w:rFonts w:ascii="Arial" w:cs="Arial" w:eastAsia="Arial" w:hAnsi="Arial"/>
          <w:b/>
          <w:bCs/>
          <w:color w:val="2E5FAC"/>
          <w:sz w:val="28"/>
          <w:szCs w:val="28"/>
        </w:rPr>
        <w:t xml:space="preserve">4. Identificación de recursos compartidos</w:t>
      </w:r>
    </w:p>
    <w:p>
      <w:pPr>
        <w:spacing w:after="80" w:before="80"/>
      </w:pPr>
      <w:r>
        <w:rPr>
          <w:rFonts w:ascii="Arial" w:cs="Arial" w:eastAsia="Arial" w:hAnsi="Arial"/>
          <w:b w:val="false"/>
          <w:bCs w:val="false"/>
          <w:i w:val="false"/>
          <w:iCs w:val="false"/>
          <w:color w:val="000000"/>
          <w:sz w:val="20"/>
          <w:szCs w:val="20"/>
        </w:rPr>
        <w:t xml:space="preserve">Del análisis anterior se identifican los siguientes recursos como los más demandados y, por tanto, con mayor riesgo de convertirse en cuellos de botella del sistema:</w:t>
      </w:r>
    </w:p>
    <w:p>
      <w:pPr>
        <w:spacing w:after="60" w:before="60"/>
      </w:pPr>
      <w:r>
        <w:t xml:space="preserve"/>
      </w:r>
    </w:p>
    <w:p>
      <w:pPr>
        <w:pStyle w:val="ListParagraph"/>
        <w:numPr>
          <w:ilvl w:val="0"/>
          <w:numId w:val="2"/>
        </w:numPr>
        <w:spacing w:after="40" w:before="40"/>
      </w:pPr>
      <w:r>
        <w:rPr>
          <w:rFonts w:ascii="Arial" w:cs="Arial" w:eastAsia="Arial" w:hAnsi="Arial"/>
          <w:color w:val="000000"/>
          <w:sz w:val="20"/>
          <w:szCs w:val="20"/>
        </w:rPr>
        <w:t xml:space="preserve">El SoC ARM64 atiende de forma concurrente el procesamiento de voz y ASR (FR-001, NFR-003), la decodificación y reproducción de audio (FR-002, FR-003), el renderizado de la GUI (FR-004, GUI-001 a GUI-005), la gestión de conectividad inalámbrica (FR-007, FR-011), la persistencia de configuración (FR-008) y las operaciones de seguridad y cifrado (STD-007, STD-011). La correcta configuración de prioridades de proceso, núcleos dedicados y mecanismos de bajo consumo (DVFS) es indispensable para que estos requisitos coexistan sin degradarse mutuamente.</w:t>
      </w:r>
    </w:p>
    <w:p>
      <w:pPr>
        <w:pStyle w:val="ListParagraph"/>
        <w:numPr>
          <w:ilvl w:val="0"/>
          <w:numId w:val="2"/>
        </w:numPr>
        <w:spacing w:after="40" w:before="40"/>
      </w:pPr>
      <w:r>
        <w:rPr>
          <w:rFonts w:ascii="Arial" w:cs="Arial" w:eastAsia="Arial" w:hAnsi="Arial"/>
          <w:color w:val="000000"/>
          <w:sz w:val="20"/>
          <w:szCs w:val="20"/>
        </w:rPr>
        <w:t xml:space="preserve">La topología de alimentación debe soportar de forma simultánea la potencia del amplificador de audio a máximo volumen (FR-003), la pantalla activa (FR-004), el módulo Wi-Fi/Bluetooth en transmisión (FR-007), la iluminación RGB (FR-006) y la carga de batería desde AC (NFR-004), manteniéndose por debajo del límite de 20 W establecido en NFR-002. En reposo, el mismo subsistema debe reducir su consumo a menos de 4 W (NFR-005) mientras mantiene el wake-word activo (FR-001).</w:t>
      </w:r>
    </w:p>
    <w:p>
      <w:pPr>
        <w:pStyle w:val="ListParagraph"/>
        <w:numPr>
          <w:ilvl w:val="0"/>
          <w:numId w:val="2"/>
        </w:numPr>
        <w:spacing w:after="40" w:before="40"/>
      </w:pPr>
      <w:r>
        <w:rPr>
          <w:rFonts w:ascii="Arial" w:cs="Arial" w:eastAsia="Arial" w:hAnsi="Arial"/>
          <w:color w:val="000000"/>
          <w:sz w:val="20"/>
          <w:szCs w:val="20"/>
        </w:rPr>
        <w:t xml:space="preserve">El almacenamiento no volátil alberga el sistema operativo Linux, la configuración de usuario (FR-008), las credenciales cifradas (STD-007) y los logs del sistema. Las escrituras concurrentes y los ciclos de encendido/apagado imponen requisitos de integridad de datos que deben gestionarse con sistemas de archivos con journaling y escrituras atómicas.</w:t>
      </w:r>
    </w:p>
    <w:p>
      <w:pPr>
        <w:pStyle w:val="ListParagraph"/>
        <w:numPr>
          <w:ilvl w:val="0"/>
          <w:numId w:val="2"/>
        </w:numPr>
        <w:spacing w:after="40" w:before="40"/>
      </w:pPr>
      <w:r>
        <w:rPr>
          <w:rFonts w:ascii="Arial" w:cs="Arial" w:eastAsia="Arial" w:hAnsi="Arial"/>
          <w:color w:val="000000"/>
          <w:sz w:val="20"/>
          <w:szCs w:val="20"/>
        </w:rPr>
        <w:t xml:space="preserve">Las interfaces de alta velocidad I2S y MIPI DSI deben coexistir en el PCB junto con las antenas Wi-Fi y Bluetooth. Sin una separación física y eléctrica adecuada, la emisión RF del módulo inalámbrico puede acoplar como ruido en el bus I2S (impactando FR-002) y en el arreglo de micrófonos (impactando FR-001).</w:t>
      </w:r>
    </w:p>
    <w:p>
      <w:pPr>
        <w:pStyle w:val="ListParagraph"/>
        <w:numPr>
          <w:ilvl w:val="0"/>
          <w:numId w:val="2"/>
        </w:numPr>
        <w:spacing w:after="40" w:before="40"/>
      </w:pPr>
      <w:r>
        <w:rPr>
          <w:rFonts w:ascii="Arial" w:cs="Arial" w:eastAsia="Arial" w:hAnsi="Arial"/>
          <w:color w:val="000000"/>
          <w:sz w:val="20"/>
          <w:szCs w:val="20"/>
        </w:rPr>
        <w:t xml:space="preserve">La GUI es un recurso integrador que depende simultáneamente de la pantalla MIPI DSI (FR-004), el controlador táctil (FR-005), el SoC para el renderizado, el estado de la batería (GUI-003), el estado de la red (GUI-003), el estado del micrófono (GUI-001, STD-009) y los eventos del sistema de audio (GUI-002, GUI-004). Cualquier contención en alguno de estos recursos se manifiesta como latencia o inconsistencia en la interfaz gráfica.</w:t>
      </w:r>
    </w:p>
    <w:p>
      <w:pPr>
        <w:spacing w:after="60" w:before="60"/>
      </w:pPr>
      <w:r>
        <w:t xml:space="preserve"/>
      </w:r>
    </w:p>
    <w:p>
      <w:pPr>
        <w:pStyle w:val="Heading2"/>
        <w:spacing w:after="120" w:before="240"/>
      </w:pPr>
      <w:r>
        <w:rPr>
          <w:rFonts w:ascii="Arial" w:cs="Arial" w:eastAsia="Arial" w:hAnsi="Arial"/>
          <w:b/>
          <w:bCs/>
          <w:color w:val="2E5FAC"/>
          <w:sz w:val="28"/>
          <w:szCs w:val="28"/>
        </w:rPr>
        <w:t xml:space="preserve">5. Riesgos técnicos y conflictos potenciales</w:t>
      </w:r>
    </w:p>
    <w:p>
      <w:pPr>
        <w:spacing w:after="80" w:before="80"/>
      </w:pPr>
      <w:r>
        <w:rPr>
          <w:rFonts w:ascii="Arial" w:cs="Arial" w:eastAsia="Arial" w:hAnsi="Arial"/>
          <w:b w:val="false"/>
          <w:bCs w:val="false"/>
          <w:i w:val="false"/>
          <w:iCs w:val="false"/>
          <w:color w:val="000000"/>
          <w:sz w:val="20"/>
          <w:szCs w:val="20"/>
        </w:rPr>
        <w:t xml:space="preserve">La siguiente tabla consolida los principales riesgos técnicos derivados del análisis de compatibilidad de recursos, indicando los requisitos involucrados, la causa técnica subyacente, la consecuencia esperada y la mitigación propuesta. Las filas sombreadas en rojo representan riesgos de alto impacto que condicionan directamente la arquitectura del sistema.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2660"/>
      </w:tblGrid>
      <w:tr>
        <w:trPr>
          <w:tblHeader/>
        </w:trPr>
        <w:tc>
          <w:tcPr>
            <w:tcW w:type="dxa" w:w="16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top"/>
          </w:tcPr>
          <w:p>
            <w:pPr>
              <w:jc w:val="left"/>
            </w:pPr>
            <w:r>
              <w:rPr>
                <w:rFonts w:ascii="Arial" w:cs="Arial" w:eastAsia="Arial" w:hAnsi="Arial"/>
                <w:b/>
                <w:bCs/>
                <w:color w:val="1F3864"/>
                <w:sz w:val="18"/>
                <w:szCs w:val="18"/>
              </w:rPr>
              <w:t xml:space="preserve">Riesgo</w:t>
            </w:r>
          </w:p>
        </w:tc>
        <w:tc>
          <w:tcPr>
            <w:tcW w:type="dxa" w:w="17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top"/>
          </w:tcPr>
          <w:p>
            <w:pPr>
              <w:jc w:val="left"/>
            </w:pPr>
            <w:r>
              <w:rPr>
                <w:rFonts w:ascii="Arial" w:cs="Arial" w:eastAsia="Arial" w:hAnsi="Arial"/>
                <w:b/>
                <w:bCs/>
                <w:color w:val="1F3864"/>
                <w:sz w:val="18"/>
                <w:szCs w:val="18"/>
              </w:rPr>
              <w:t xml:space="preserve">Requisitos involucrados</w:t>
            </w:r>
          </w:p>
        </w:tc>
        <w:tc>
          <w:tcPr>
            <w:tcW w:type="dxa" w:w="17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top"/>
          </w:tcPr>
          <w:p>
            <w:pPr>
              <w:jc w:val="left"/>
            </w:pPr>
            <w:r>
              <w:rPr>
                <w:rFonts w:ascii="Arial" w:cs="Arial" w:eastAsia="Arial" w:hAnsi="Arial"/>
                <w:b/>
                <w:bCs/>
                <w:color w:val="1F3864"/>
                <w:sz w:val="18"/>
                <w:szCs w:val="18"/>
              </w:rPr>
              <w:t xml:space="preserve">Causa técnica</w:t>
            </w:r>
          </w:p>
        </w:tc>
        <w:tc>
          <w:tcPr>
            <w:tcW w:type="dxa" w:w="17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top"/>
          </w:tcPr>
          <w:p>
            <w:pPr>
              <w:jc w:val="left"/>
            </w:pPr>
            <w:r>
              <w:rPr>
                <w:rFonts w:ascii="Arial" w:cs="Arial" w:eastAsia="Arial" w:hAnsi="Arial"/>
                <w:b/>
                <w:bCs/>
                <w:color w:val="1F3864"/>
                <w:sz w:val="18"/>
                <w:szCs w:val="18"/>
              </w:rPr>
              <w:t xml:space="preserve">Consecuencia</w:t>
            </w:r>
          </w:p>
        </w:tc>
        <w:tc>
          <w:tcPr>
            <w:tcW w:type="dxa" w:w="266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top"/>
          </w:tcPr>
          <w:p>
            <w:pPr>
              <w:jc w:val="left"/>
            </w:pPr>
            <w:r>
              <w:rPr>
                <w:rFonts w:ascii="Arial" w:cs="Arial" w:eastAsia="Arial" w:hAnsi="Arial"/>
                <w:b/>
                <w:bCs/>
                <w:color w:val="1F3864"/>
                <w:sz w:val="18"/>
                <w:szCs w:val="18"/>
              </w:rPr>
              <w:t xml:space="preserve">Mitigación propuesta</w:t>
            </w:r>
          </w:p>
        </w:tc>
      </w:tr>
      <w:tr>
        <w:tc>
          <w:tcPr>
            <w:tcW w:type="dxa" w:w="1600"/>
            <w:gridSpan w:val="1"/>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Latencia de respuesta a comando de voz &gt; 2 s</w:t>
            </w:r>
          </w:p>
        </w:tc>
        <w:tc>
          <w:tcPr>
            <w:tcW w:type="dxa" w:w="1700"/>
            <w:gridSpan w:val="1"/>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NFR-003, FR-001, FR-002, FR-003</w:t>
            </w:r>
          </w:p>
        </w:tc>
        <w:tc>
          <w:tcPr>
            <w:tcW w:type="dxa" w:w="1700"/>
            <w:gridSpan w:val="1"/>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Contención del SoC ARM64 al ejecutar concurrentemente ASR, decodificación de audio y renderizado GUI bajo carga máxima</w:t>
            </w:r>
          </w:p>
        </w:tc>
        <w:tc>
          <w:tcPr>
            <w:tcW w:type="dxa" w:w="1700"/>
            <w:gridSpan w:val="1"/>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Incumplimiento del criterio de aceptación de NFR-003 (&lt; 2 s en ≥ 8/10 pruebas); degradación de la experiencia del asistente de voz</w:t>
            </w:r>
          </w:p>
        </w:tc>
        <w:tc>
          <w:tcPr>
            <w:tcW w:type="dxa" w:w="2660"/>
            <w:gridSpan w:val="1"/>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Asignar núcleo(s) dedicado(s) al pipeline ASR con prioridad de tiempo real; optimizar la imagen Linux para reducir procesos en background; utilizar aceleración de hardware para ASR si el SoC lo soporta</w:t>
            </w:r>
          </w:p>
        </w:tc>
      </w:tr>
      <w:tr>
        <w:tc>
          <w:tcPr>
            <w:tcW w:type="dxa" w:w="1600"/>
            <w:gridSpan w:val="1"/>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Consumo máximo &gt; 20 W con carga simultánea plena</w:t>
            </w:r>
          </w:p>
        </w:tc>
        <w:tc>
          <w:tcPr>
            <w:tcW w:type="dxa" w:w="1700"/>
            <w:gridSpan w:val="1"/>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NFR-002, FR-003, FR-004, FR-006, FR-007, NFR-004</w:t>
            </w:r>
          </w:p>
        </w:tc>
        <w:tc>
          <w:tcPr>
            <w:tcW w:type="dxa" w:w="1700"/>
            <w:gridSpan w:val="1"/>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Operación simultánea de amplificador de audio, pantalla, Wi-Fi/Bluetooth, RGB y carga de batería sin gestión activa de potencia</w:t>
            </w:r>
          </w:p>
        </w:tc>
        <w:tc>
          <w:tcPr>
            <w:tcW w:type="dxa" w:w="1700"/>
            <w:gridSpan w:val="1"/>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Incumplimiento de NFR-002; dimensionamiento insuficiente de la fuente; temperatura superficial &gt; 60°C (STD-003)</w:t>
            </w:r>
          </w:p>
        </w:tc>
        <w:tc>
          <w:tcPr>
            <w:tcW w:type="dxa" w:w="2660"/>
            <w:gridSpan w:val="1"/>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Establecer presupuesto de potencia por subsistema; inhibir carga de batería o reducir brillo de pantalla al detectar carga máxima; implementar perfiles de potencia gestionados por software</w:t>
            </w:r>
          </w:p>
        </w:tc>
      </w:tr>
      <w:tr>
        <w:tc>
          <w:tcPr>
            <w:tcW w:type="dxa" w:w="1600"/>
            <w:gridSpan w:val="1"/>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Consumo en reposo &gt; 4 W con wake-word activo</w:t>
            </w:r>
          </w:p>
        </w:tc>
        <w:tc>
          <w:tcPr>
            <w:tcW w:type="dxa" w:w="1700"/>
            <w:gridSpan w:val="1"/>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NFR-005, FR-001</w:t>
            </w:r>
          </w:p>
        </w:tc>
        <w:tc>
          <w:tcPr>
            <w:tcW w:type="dxa" w:w="1700"/>
            <w:gridSpan w:val="1"/>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El detector de wake-word (motor DSP/ASR) mantiene la CPU activa en reposo, impidiendo la transición a estados de bajo consumo profundo</w:t>
            </w:r>
          </w:p>
        </w:tc>
        <w:tc>
          <w:tcPr>
            <w:tcW w:type="dxa" w:w="1700"/>
            <w:gridSpan w:val="1"/>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Incumplimiento de NFR-005; reducción de la autonomía en batería (NFR-004); calor residual continuo</w:t>
            </w:r>
          </w:p>
        </w:tc>
        <w:tc>
          <w:tcPr>
            <w:tcW w:type="dxa" w:w="2660"/>
            <w:gridSpan w:val="1"/>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Utilizar un DSP de bajo consumo dedicado al wake-word en hardware, permitiendo que el SoC principal entre en modo sleep; evaluar SoCs con capacidades always-on DSP</w:t>
            </w:r>
          </w:p>
        </w:tc>
      </w:tr>
      <w:tr>
        <w:tc>
          <w:tcPr>
            <w:tcW w:type="dxa" w:w="1600"/>
            <w:gridSpan w:val="1"/>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Interferencia RF sobre micrófonos y bus I2S</w:t>
            </w:r>
          </w:p>
        </w:tc>
        <w:tc>
          <w:tcPr>
            <w:tcW w:type="dxa" w:w="1700"/>
            <w:gridSpan w:val="1"/>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FR-001, FR-002, FR-007, STD-005</w:t>
            </w:r>
          </w:p>
        </w:tc>
        <w:tc>
          <w:tcPr>
            <w:tcW w:type="dxa" w:w="1700"/>
            <w:gridSpan w:val="1"/>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Emisión no intencional del módulo Wi-Fi/BT y de la fuente conmutada que acopla ruido a la cadena de captura de micrófonos y a las líneas I2S en el PCB compacto</w:t>
            </w:r>
          </w:p>
        </w:tc>
        <w:tc>
          <w:tcPr>
            <w:tcW w:type="dxa" w:w="1700"/>
            <w:gridSpan w:val="1"/>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Reducción de la tasa de reconocimiento de wake-word (FR-001 &lt; 90%); glitches de audio en el bus I2S (FR-002); posible incumplimiento de límites EMC</w:t>
            </w:r>
          </w:p>
        </w:tc>
        <w:tc>
          <w:tcPr>
            <w:tcW w:type="dxa" w:w="2660"/>
            <w:gridSpan w:val="1"/>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Separación física de zonas RF, analógica de audio y potencia en el layout del PCB; uso de planos de tierra independientes; filtros EMC en las líneas I2S y de alimentación de micrófonos</w:t>
            </w:r>
          </w:p>
        </w:tc>
      </w:tr>
      <w:tr>
        <w:tc>
          <w:tcPr>
            <w:tcW w:type="dxa" w:w="1600"/>
            <w:gridSpan w:val="1"/>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Tiempo de arranque &gt; 15 s con cifrado de almacenamiento activo</w:t>
            </w:r>
          </w:p>
        </w:tc>
        <w:tc>
          <w:tcPr>
            <w:tcW w:type="dxa" w:w="1700"/>
            <w:gridSpan w:val="1"/>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NFR-001, STD-007, STD-008</w:t>
            </w:r>
          </w:p>
        </w:tc>
        <w:tc>
          <w:tcPr>
            <w:tcW w:type="dxa" w:w="1700"/>
            <w:gridSpan w:val="1"/>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El montaje de la partición cifrada de credenciales y la verificación de integridad del sistema de archivos durante el arranque Linux añaden latencia al secuencia de boot</w:t>
            </w:r>
          </w:p>
        </w:tc>
        <w:tc>
          <w:tcPr>
            <w:tcW w:type="dxa" w:w="1700"/>
            <w:gridSpan w:val="1"/>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Incumplimiento de NFR-001 (&lt; 15 s); experiencia de usuario inaceptable; conflicto entre seguridad y rendimiento de arranque</w:t>
            </w:r>
          </w:p>
        </w:tc>
        <w:tc>
          <w:tcPr>
            <w:tcW w:type="dxa" w:w="2660"/>
            <w:gridSpan w:val="1"/>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Usar un mecanismo de cifrado de bajo overhead; separar el montaje de credenciales del arranque del servicio de voz (lazy mount); optimizar la imagen de kernel y rootfs para boot rápido</w:t>
            </w:r>
          </w:p>
        </w:tc>
      </w:tr>
      <w:tr>
        <w:tc>
          <w:tcPr>
            <w:tcW w:type="dxa" w:w="1600"/>
            <w:gridSpan w:val="1"/>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Batería extraíble vs. seguridad eléctrica y mecánica</w:t>
            </w:r>
          </w:p>
        </w:tc>
        <w:tc>
          <w:tcPr>
            <w:tcW w:type="dxa" w:w="1700"/>
            <w:gridSpan w:val="1"/>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ENV-003, NFR-004, STD-001, STD-003, STD-004</w:t>
            </w:r>
          </w:p>
        </w:tc>
        <w:tc>
          <w:tcPr>
            <w:tcW w:type="dxa" w:w="1700"/>
            <w:gridSpan w:val="1"/>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El mecanismo de extracción accesible al usuario crea posibilidad de contacto con terminales de batería y expone el interior del dispositivo a condiciones ambientales</w:t>
            </w:r>
          </w:p>
        </w:tc>
        <w:tc>
          <w:tcPr>
            <w:tcW w:type="dxa" w:w="1700"/>
            <w:gridSpan w:val="1"/>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Riesgo de cortocircuito de la celda durante extracción; incumplimiento de STD-001 (protección contra sobrecorriente) si no hay protección en el circuito de batería</w:t>
            </w:r>
          </w:p>
        </w:tc>
        <w:tc>
          <w:tcPr>
            <w:tcW w:type="dxa" w:w="2660"/>
            <w:gridSpan w:val="1"/>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Incluir protección de sobrecorriente en el circuito de batería (BMS); diseñar el conector de batería para evitar cortocircuito accidental; documentar el procedimiento de extracción segura</w:t>
            </w:r>
          </w:p>
        </w:tc>
      </w:tr>
      <w:tr>
        <w:tc>
          <w:tcPr>
            <w:tcW w:type="dxa" w:w="1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Latencia de respuesta táctil &gt; 500 ms por contención de bus I2C</w:t>
            </w:r>
          </w:p>
        </w:tc>
        <w:tc>
          <w:tcPr>
            <w:tcW w:type="dxa" w:w="17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GUI-004, FR-005, FR-006</w:t>
            </w:r>
          </w:p>
        </w:tc>
        <w:tc>
          <w:tcPr>
            <w:tcW w:type="dxa" w:w="17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El bus I2C compartido entre el controlador táctil, el driver RGB y otros periféricos genera arbitración que retarda la lectura de eventos táctiles</w:t>
            </w:r>
          </w:p>
        </w:tc>
        <w:tc>
          <w:tcPr>
            <w:tcW w:type="dxa" w:w="17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Acciones táctiles con latencia fuera de especificación (GUI-004 exige ≤ 500 ms); degradación de la usabilidad del wizard de configuración (FR-012, GUI-005)</w:t>
            </w:r>
          </w:p>
        </w:tc>
        <w:tc>
          <w:tcPr>
            <w:tcW w:type="dxa" w:w="26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Asignar bus I2C dedicado al controlador táctil; operar el bus a 400 kHz (Fast Mode) como mínimo; usar interrupciones GPIO en lugar de polling para detectar eventos táctiles</w:t>
            </w:r>
          </w:p>
        </w:tc>
      </w:tr>
    </w:tbl>
    <w:p>
      <w:pPr>
        <w:spacing w:after="60" w:before="60"/>
      </w:pPr>
      <w:r>
        <w:t xml:space="preserve"/>
      </w:r>
    </w:p>
    <w:p>
      <w:pPr>
        <w:pStyle w:val="Heading2"/>
        <w:spacing w:after="120" w:before="240"/>
      </w:pPr>
      <w:r>
        <w:rPr>
          <w:rFonts w:ascii="Arial" w:cs="Arial" w:eastAsia="Arial" w:hAnsi="Arial"/>
          <w:b/>
          <w:bCs/>
          <w:color w:val="2E5FAC"/>
          <w:sz w:val="28"/>
          <w:szCs w:val="28"/>
        </w:rPr>
        <w:t xml:space="preserve">6. Recomendaciones de arquitectura</w:t>
      </w:r>
    </w:p>
    <w:p>
      <w:pPr>
        <w:spacing w:after="80" w:before="80"/>
      </w:pPr>
      <w:r>
        <w:rPr>
          <w:rFonts w:ascii="Arial" w:cs="Arial" w:eastAsia="Arial" w:hAnsi="Arial"/>
          <w:b w:val="false"/>
          <w:bCs w:val="false"/>
          <w:i w:val="false"/>
          <w:iCs w:val="false"/>
          <w:color w:val="000000"/>
          <w:sz w:val="20"/>
          <w:szCs w:val="20"/>
        </w:rPr>
        <w:t xml:space="preserve">A partir del análisis de compatibilidad de recursos y de los riesgos identificados, se proponen las siguientes recomendaciones de arquitectura. Estas recomendaciones no implican la selección de componentes comerciales específicos, sino que establecen criterios técnicos que deben guiar el diseño detallado:</w:t>
      </w:r>
    </w:p>
    <w:p>
      <w:pPr>
        <w:spacing w:after="60" w:before="60"/>
      </w:pPr>
      <w:r>
        <w:t xml:space="preserve"/>
      </w:r>
    </w:p>
    <w:p>
      <w:pPr>
        <w:pStyle w:val="ListParagraph"/>
        <w:numPr>
          <w:ilvl w:val="0"/>
          <w:numId w:val="2"/>
        </w:numPr>
        <w:spacing w:after="40" w:before="40"/>
      </w:pPr>
      <w:r>
        <w:rPr>
          <w:rFonts w:ascii="Arial" w:cs="Arial" w:eastAsia="Arial" w:hAnsi="Arial"/>
          <w:color w:val="000000"/>
          <w:sz w:val="20"/>
          <w:szCs w:val="20"/>
        </w:rPr>
        <w:t xml:space="preserve">Reservar controladores I2S independientes para la ruta de captura de micrófonos y para la ruta de reproducción hacia el códec de audio, evitando la compartición de reloj MCLK entre ambas rutas y reduciendo el riesgo de interferencia (FR-001, FR-002, FR-003).</w:t>
      </w:r>
    </w:p>
    <w:p>
      <w:pPr>
        <w:pStyle w:val="ListParagraph"/>
        <w:numPr>
          <w:ilvl w:val="0"/>
          <w:numId w:val="2"/>
        </w:numPr>
        <w:spacing w:after="40" w:before="40"/>
      </w:pPr>
      <w:r>
        <w:rPr>
          <w:rFonts w:ascii="Arial" w:cs="Arial" w:eastAsia="Arial" w:hAnsi="Arial"/>
          <w:color w:val="000000"/>
          <w:sz w:val="20"/>
          <w:szCs w:val="20"/>
        </w:rPr>
        <w:t xml:space="preserve">Utilizar un controlador PWM o driver de LEDs dedicado con interfaz I2C para la iluminación RGB, descargando completamente al SoC de la generación de señales PWM y evitando que la modulación de iluminación interfiera con el procesamiento de voz o la GUI (FR-006).</w:t>
      </w:r>
    </w:p>
    <w:p>
      <w:pPr>
        <w:pStyle w:val="ListParagraph"/>
        <w:numPr>
          <w:ilvl w:val="0"/>
          <w:numId w:val="2"/>
        </w:numPr>
        <w:spacing w:after="40" w:before="40"/>
      </w:pPr>
      <w:r>
        <w:rPr>
          <w:rFonts w:ascii="Arial" w:cs="Arial" w:eastAsia="Arial" w:hAnsi="Arial"/>
          <w:color w:val="000000"/>
          <w:sz w:val="20"/>
          <w:szCs w:val="20"/>
        </w:rPr>
        <w:t xml:space="preserve">Separar físicamente en el PCB las zonas de audio analógico, radiofrecuencia y potencia. Mantener clearances de antena según las guías del fabricante del módulo RF y controlar la impedancia de las trazas RF a 50 Ω ±10% (STD-005, STD-006, FR-007).</w:t>
      </w:r>
    </w:p>
    <w:p>
      <w:pPr>
        <w:pStyle w:val="ListParagraph"/>
        <w:numPr>
          <w:ilvl w:val="0"/>
          <w:numId w:val="2"/>
        </w:numPr>
        <w:spacing w:after="40" w:before="40"/>
      </w:pPr>
      <w:r>
        <w:rPr>
          <w:rFonts w:ascii="Arial" w:cs="Arial" w:eastAsia="Arial" w:hAnsi="Arial"/>
          <w:color w:val="000000"/>
          <w:sz w:val="20"/>
          <w:szCs w:val="20"/>
        </w:rPr>
        <w:t xml:space="preserve">Dimensionar la fuente de alimentación considerando la carga máxima simultánea de todos los subsistemas con un margen de al menos el 20-30%, e implementar gestión activa de energía con perfiles de estado (máxima carga, operación normal, reposo con wake-word) para cumplir simultáneamente NFR-002 y NFR-005.</w:t>
      </w:r>
    </w:p>
    <w:p>
      <w:pPr>
        <w:pStyle w:val="ListParagraph"/>
        <w:numPr>
          <w:ilvl w:val="0"/>
          <w:numId w:val="2"/>
        </w:numPr>
        <w:spacing w:after="40" w:before="40"/>
      </w:pPr>
      <w:r>
        <w:rPr>
          <w:rFonts w:ascii="Arial" w:cs="Arial" w:eastAsia="Arial" w:hAnsi="Arial"/>
          <w:color w:val="000000"/>
          <w:sz w:val="20"/>
          <w:szCs w:val="20"/>
        </w:rPr>
        <w:t xml:space="preserve">Usar almacenamiento no volátil con partición separada para credenciales, cifrada mediante LUKS u otro mecanismo con aceleración de hardware si el SoC lo soporta, cumpliendo STD-007 sin comprometer el tiempo de arranque (NFR-001).</w:t>
      </w:r>
    </w:p>
    <w:p>
      <w:pPr>
        <w:pStyle w:val="ListParagraph"/>
        <w:numPr>
          <w:ilvl w:val="0"/>
          <w:numId w:val="2"/>
        </w:numPr>
        <w:spacing w:after="40" w:before="40"/>
      </w:pPr>
      <w:r>
        <w:rPr>
          <w:rFonts w:ascii="Arial" w:cs="Arial" w:eastAsia="Arial" w:hAnsi="Arial"/>
          <w:color w:val="000000"/>
          <w:sz w:val="20"/>
          <w:szCs w:val="20"/>
        </w:rPr>
        <w:t xml:space="preserve">Deshabilitar las interfaces de depuración UART y JTAG en el firmware de producción mediante fuses OTP del SoC y supresión del servicio de consola en el arranque, conforme a STD-008. Documentar el procedimiento de rehabilitación controlada para uso interno.</w:t>
      </w:r>
    </w:p>
    <w:p>
      <w:pPr>
        <w:pStyle w:val="ListParagraph"/>
        <w:numPr>
          <w:ilvl w:val="0"/>
          <w:numId w:val="2"/>
        </w:numPr>
        <w:spacing w:after="40" w:before="40"/>
      </w:pPr>
      <w:r>
        <w:rPr>
          <w:rFonts w:ascii="Arial" w:cs="Arial" w:eastAsia="Arial" w:hAnsi="Arial"/>
          <w:color w:val="000000"/>
          <w:sz w:val="20"/>
          <w:szCs w:val="20"/>
        </w:rPr>
        <w:t xml:space="preserve">Definir un presupuesto de potencia detallado por subsistema antes de iniciar el diseño del PCB, incluyendo los consumos típico y máximo de cada bloque (SoC, amplificador, pantalla, Wi-Fi, Bluetooth, RGB, módulo de carga), con el fin de verificar el cumplimiento de NFR-002 y NFR-005.</w:t>
      </w:r>
    </w:p>
    <w:p>
      <w:pPr>
        <w:pStyle w:val="ListParagraph"/>
        <w:numPr>
          <w:ilvl w:val="0"/>
          <w:numId w:val="2"/>
        </w:numPr>
        <w:spacing w:after="40" w:before="40"/>
      </w:pPr>
      <w:r>
        <w:rPr>
          <w:rFonts w:ascii="Arial" w:cs="Arial" w:eastAsia="Arial" w:hAnsi="Arial"/>
          <w:color w:val="000000"/>
          <w:sz w:val="20"/>
          <w:szCs w:val="20"/>
        </w:rPr>
        <w:t xml:space="preserve">Seleccionar un SoC con soporte nativo de Linux/ARM64, controlador MIPI DSI integrado, al menos dos controladores I2S, soporte de aceleración de DSP o NPU para procesamiento de audio, y capacidad de gestión de potencia DVFS (Dynamic Voltage and Frequency Scaling) para cumplir simultáneamente los requisitos de rendimiento y consumo.</w:t>
      </w:r>
    </w:p>
    <w:p>
      <w:pPr>
        <w:pStyle w:val="ListParagraph"/>
        <w:numPr>
          <w:ilvl w:val="0"/>
          <w:numId w:val="2"/>
        </w:numPr>
        <w:spacing w:after="40" w:before="40"/>
      </w:pPr>
      <w:r>
        <w:rPr>
          <w:rFonts w:ascii="Arial" w:cs="Arial" w:eastAsia="Arial" w:hAnsi="Arial"/>
          <w:color w:val="000000"/>
          <w:sz w:val="20"/>
          <w:szCs w:val="20"/>
        </w:rPr>
        <w:t xml:space="preserve">Evaluar la inclusión de un DSP de bajo consumo dedicado al procesamiento del wake-word (always-on), que permita al SoC principal entrar en modo de sueño profundo durante el estado de reposo sin comprometer la detección de comandos de voz (NFR-005, FR-001).</w:t>
      </w:r>
    </w:p>
    <w:p>
      <w:pPr>
        <w:spacing w:after="60" w:before="60"/>
      </w:pPr>
      <w:r>
        <w:t xml:space="preserve"/>
      </w:r>
    </w:p>
    <w:p>
      <w:pPr>
        <w:pStyle w:val="Heading2"/>
        <w:spacing w:after="120" w:before="240"/>
      </w:pPr>
      <w:r>
        <w:rPr>
          <w:rFonts w:ascii="Arial" w:cs="Arial" w:eastAsia="Arial" w:hAnsi="Arial"/>
          <w:b/>
          <w:bCs/>
          <w:color w:val="2E5FAC"/>
          <w:sz w:val="28"/>
          <w:szCs w:val="28"/>
        </w:rPr>
        <w:t xml:space="preserve">7. Decisiones abiertas relacionadas con recursos</w:t>
      </w:r>
    </w:p>
    <w:p>
      <w:pPr>
        <w:spacing w:after="80" w:before="80"/>
      </w:pPr>
      <w:r>
        <w:rPr>
          <w:rFonts w:ascii="Arial" w:cs="Arial" w:eastAsia="Arial" w:hAnsi="Arial"/>
          <w:b w:val="false"/>
          <w:bCs w:val="false"/>
          <w:i w:val="false"/>
          <w:iCs w:val="false"/>
          <w:color w:val="000000"/>
          <w:sz w:val="20"/>
          <w:szCs w:val="20"/>
        </w:rPr>
        <w:t xml:space="preserve">Las siguientes decisiones técnicas permanecen pendientes de definición y su resolución condicionará directamente la arquitectura del sistema. Deberán cerrarse en la siguiente fase del proyecto: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top"/>
          </w:tcPr>
          <w:p>
            <w:pPr>
              <w:jc w:val="left"/>
            </w:pPr>
            <w:r>
              <w:rPr>
                <w:rFonts w:ascii="Arial" w:cs="Arial" w:eastAsia="Arial" w:hAnsi="Arial"/>
                <w:b/>
                <w:bCs/>
                <w:color w:val="1F3864"/>
                <w:sz w:val="18"/>
                <w:szCs w:val="18"/>
              </w:rPr>
              <w:t xml:space="preserve">Decisión abierta</w:t>
            </w:r>
          </w:p>
        </w:tc>
        <w:tc>
          <w:tcPr>
            <w:tcW w:type="dxa" w:w="336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top"/>
          </w:tcPr>
          <w:p>
            <w:pPr>
              <w:jc w:val="left"/>
            </w:pPr>
            <w:r>
              <w:rPr>
                <w:rFonts w:ascii="Arial" w:cs="Arial" w:eastAsia="Arial" w:hAnsi="Arial"/>
                <w:b/>
                <w:bCs/>
                <w:color w:val="1F3864"/>
                <w:sz w:val="18"/>
                <w:szCs w:val="18"/>
              </w:rPr>
              <w:t xml:space="preserve">Impacto en la arquitectura</w:t>
            </w:r>
          </w:p>
        </w:tc>
        <w:tc>
          <w:tcPr>
            <w:tcW w:type="dxa" w:w="3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top"/>
          </w:tcPr>
          <w:p>
            <w:pPr>
              <w:jc w:val="left"/>
            </w:pPr>
            <w:r>
              <w:rPr>
                <w:rFonts w:ascii="Arial" w:cs="Arial" w:eastAsia="Arial" w:hAnsi="Arial"/>
                <w:b/>
                <w:bCs/>
                <w:color w:val="1F3864"/>
                <w:sz w:val="18"/>
                <w:szCs w:val="18"/>
              </w:rPr>
              <w:t xml:space="preserve">Requisitos condicionados</w:t>
            </w:r>
          </w:p>
        </w:tc>
      </w:tr>
      <w:tr>
        <w:tc>
          <w:tcPr>
            <w:tcW w:type="dxa" w:w="2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Capacidad exacta de la batería (Ah)</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Determina la autonomía en batería, el dimensionamiento del módulo de carga y el peso/volumen del producto</w:t>
            </w:r>
          </w:p>
        </w:tc>
        <w:tc>
          <w:tcPr>
            <w:tcW w:type="dxa" w:w="3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NFR-004, NFR-005, ENV-003</w:t>
            </w:r>
          </w:p>
        </w:tc>
      </w:tr>
      <w:tr>
        <w:tc>
          <w:tcPr>
            <w:tcW w:type="dxa" w:w="26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Potencia real del amplificador de audio (W por canal)</w:t>
            </w:r>
          </w:p>
        </w:tc>
        <w:tc>
          <w:tcPr>
            <w:tcW w:type="dxa" w:w="336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Define el consumo del subsistema de audio y el margen del presupuesto de potencia total</w:t>
            </w:r>
          </w:p>
        </w:tc>
        <w:tc>
          <w:tcPr>
            <w:tcW w:type="dxa" w:w="3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NFR-002, FR-003</w:t>
            </w:r>
          </w:p>
        </w:tc>
      </w:tr>
      <w:tr>
        <w:tc>
          <w:tcPr>
            <w:tcW w:type="dxa" w:w="2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Cantidad mínima de RAM</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Determina la viabilidad de ejecutar simultáneamente todos los procesos críticos sin swap</w:t>
            </w:r>
          </w:p>
        </w:tc>
        <w:tc>
          <w:tcPr>
            <w:tcW w:type="dxa" w:w="3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NFR-001, NFR-003, FR-001, FR-003, FR-004</w:t>
            </w:r>
          </w:p>
        </w:tc>
      </w:tr>
      <w:tr>
        <w:tc>
          <w:tcPr>
            <w:tcW w:type="dxa" w:w="26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Tamaño del almacenamiento no volátil</w:t>
            </w:r>
          </w:p>
        </w:tc>
        <w:tc>
          <w:tcPr>
            <w:tcW w:type="dxa" w:w="336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Determina el espacio disponible para el OS, la configuración, las credenciales y los logs; impacta el ciclo de vida</w:t>
            </w:r>
          </w:p>
        </w:tc>
        <w:tc>
          <w:tcPr>
            <w:tcW w:type="dxa" w:w="3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FR-008, STD-007, NFR-001</w:t>
            </w:r>
          </w:p>
        </w:tc>
      </w:tr>
      <w:tr>
        <w:tc>
          <w:tcPr>
            <w:tcW w:type="dxa" w:w="2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Wi-Fi/BT integrado en SoC o módulo externo</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Módulo externo pre-certificado simplifica el cumplimiento de STD-006 pero añade interfaz; integrado reduce footprint y costo</w:t>
            </w:r>
          </w:p>
        </w:tc>
        <w:tc>
          <w:tcPr>
            <w:tcW w:type="dxa" w:w="3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FR-007, STD-005, STD-006</w:t>
            </w:r>
          </w:p>
        </w:tc>
      </w:tr>
      <w:tr>
        <w:tc>
          <w:tcPr>
            <w:tcW w:type="dxa" w:w="26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Procesamiento ASR local, híbrido o en nube</w:t>
            </w:r>
          </w:p>
        </w:tc>
        <w:tc>
          <w:tcPr>
            <w:tcW w:type="dxa" w:w="336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Procesamiento local exige mayor capacidad de cómputo y RAM; en nube reduce carga del SoC pero añade latencia de red (NFR-003)</w:t>
            </w:r>
          </w:p>
        </w:tc>
        <w:tc>
          <w:tcPr>
            <w:tcW w:type="dxa" w:w="3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FR-001, NFR-003, FR-007, STD-011</w:t>
            </w:r>
          </w:p>
        </w:tc>
      </w:tr>
      <w:tr>
        <w:tc>
          <w:tcPr>
            <w:tcW w:type="dxa" w:w="2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Tecnología de micrófonos y códec de audio</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Define la SNR del arreglo far-field, la topología del bus I2S y la calidad de la captura de voz a 3 m</w:t>
            </w:r>
          </w:p>
        </w:tc>
        <w:tc>
          <w:tcPr>
            <w:tcW w:type="dxa" w:w="3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FR-001, FR-002, FR-003</w:t>
            </w:r>
          </w:p>
        </w:tc>
      </w:tr>
      <w:tr>
        <w:tc>
          <w:tcPr>
            <w:tcW w:type="dxa" w:w="26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Estrategia de disipación térmica (pasiva vs. activa)</w:t>
            </w:r>
          </w:p>
        </w:tc>
        <w:tc>
          <w:tcPr>
            <w:tcW w:type="dxa" w:w="336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Disipación pasiva limita la potencia máxima sostenida; activa añade ruido acústico y complejidad mecánica</w:t>
            </w:r>
          </w:p>
        </w:tc>
        <w:tc>
          <w:tcPr>
            <w:tcW w:type="dxa" w:w="3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STD-003, ENV-001, NFR-002</w:t>
            </w:r>
          </w:p>
        </w:tc>
      </w:tr>
      <w:tr>
        <w:tc>
          <w:tcPr>
            <w:tcW w:type="dxa" w:w="2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Topología de alimentación interna (número de rieles DC, reguladores)</w:t>
            </w:r>
          </w:p>
        </w:tc>
        <w:tc>
          <w:tcPr>
            <w:tcW w:type="dxa" w:w="3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Determina la eficiencia de conversión, el ruido en la alimentación analógica y la capacidad de gestión de estados de bajo consumo</w:t>
            </w:r>
          </w:p>
        </w:tc>
        <w:tc>
          <w:tcPr>
            <w:tcW w:type="dxa" w:w="3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NFR-002, NFR-005, STD-001, STD-004</w:t>
            </w:r>
          </w:p>
        </w:tc>
      </w:tr>
      <w:tr>
        <w:tc>
          <w:tcPr>
            <w:tcW w:type="dxa" w:w="26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Número y disposición de micrófonos en el arreglo far-field</w:t>
            </w:r>
          </w:p>
        </w:tc>
        <w:tc>
          <w:tcPr>
            <w:tcW w:type="dxa" w:w="336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Define la directividad del beamforming y la capacidad de supresión de ruido y eco a 3 m / 50 dB SPL</w:t>
            </w:r>
          </w:p>
        </w:tc>
        <w:tc>
          <w:tcPr>
            <w:tcW w:type="dxa" w:w="3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FR-001</w:t>
            </w:r>
          </w:p>
        </w:tc>
      </w:tr>
    </w:tbl>
    <w:p>
      <w:pPr>
        <w:spacing w:after="60" w:before="60"/>
      </w:pPr>
      <w:r>
        <w:t xml:space="preserve"/>
      </w:r>
    </w:p>
    <w:p>
      <w:pPr>
        <w:pStyle w:val="Heading2"/>
        <w:spacing w:after="120" w:before="240"/>
      </w:pPr>
      <w:r>
        <w:rPr>
          <w:rFonts w:ascii="Arial" w:cs="Arial" w:eastAsia="Arial" w:hAnsi="Arial"/>
          <w:b/>
          <w:bCs/>
          <w:color w:val="2E5FAC"/>
          <w:sz w:val="28"/>
          <w:szCs w:val="28"/>
        </w:rPr>
        <w:t xml:space="preserve">8. Conclusión</w:t>
      </w:r>
    </w:p>
    <w:p>
      <w:pPr>
        <w:spacing w:after="80" w:before="80"/>
      </w:pPr>
      <w:r>
        <w:rPr>
          <w:rFonts w:ascii="Arial" w:cs="Arial" w:eastAsia="Arial" w:hAnsi="Arial"/>
          <w:b w:val="false"/>
          <w:bCs w:val="false"/>
          <w:i w:val="false"/>
          <w:iCs w:val="false"/>
          <w:color w:val="000000"/>
          <w:sz w:val="20"/>
          <w:szCs w:val="20"/>
        </w:rPr>
        <w:t xml:space="preserve">El análisis de compatibilidad de recursos de ALMA confirma que los treinta y siete requisitos definidos en el Entregable 1 son mutuamente compatibles en su conjunto, pero su implementación simultánea impone exigencias significativas sobre tres recursos especialmente críticos: el SoC ARM64, la topología de alimentación y el almacenamiento no volátil. Estos tres elementos son transversales a prácticamente todos los subsistemas del producto y concentran los principales riesgos de compatibilidad.</w:t>
      </w:r>
    </w:p>
    <w:p>
      <w:pPr>
        <w:spacing w:after="60" w:before="60"/>
      </w:pPr>
      <w:r>
        <w:t xml:space="preserve"/>
      </w:r>
    </w:p>
    <w:p>
      <w:pPr>
        <w:spacing w:after="80" w:before="80"/>
      </w:pPr>
      <w:r>
        <w:rPr>
          <w:rFonts w:ascii="Arial" w:cs="Arial" w:eastAsia="Arial" w:hAnsi="Arial"/>
          <w:b w:val="false"/>
          <w:bCs w:val="false"/>
          <w:i w:val="false"/>
          <w:iCs w:val="false"/>
          <w:color w:val="000000"/>
          <w:sz w:val="20"/>
          <w:szCs w:val="20"/>
        </w:rPr>
        <w:t xml:space="preserve">El riesgo más crítico identificado es la contención de procesamiento sobre el SoC, que debe atender de forma concurrente el wake-word, el ASR, la reproducción de audio, el renderizado de GUI y la gestión de conectividad, todo ello bajo el límite de latencia de 2 segundos de NFR-003. El segundo riesgo crítico es el presupuesto de potencia, cuya tensión entre el límite de 20 W en operación máxima (NFR-002) y el límite de 4 W en reposo (NFR-005) requiere una gestión activa de energía por estados, no resoluble únicamente mediante selección de componentes. El tercer vector de riesgo es la coexistencia eléctrica de señales de alta sensibilidad (micrófonos far-field, bus I2S) con fuentes de ruido de alta energía (módulo RF, fuente conmutada, amplificador de potencia) en un PCB compacto.</w:t>
      </w:r>
    </w:p>
    <w:p>
      <w:pPr>
        <w:spacing w:after="60" w:before="60"/>
      </w:pPr>
      <w:r>
        <w:t xml:space="preserve"/>
      </w:r>
    </w:p>
    <w:p>
      <w:pPr>
        <w:spacing w:after="80" w:before="80"/>
      </w:pPr>
      <w:r>
        <w:rPr>
          <w:rFonts w:ascii="Arial" w:cs="Arial" w:eastAsia="Arial" w:hAnsi="Arial"/>
          <w:b w:val="false"/>
          <w:bCs w:val="false"/>
          <w:i w:val="false"/>
          <w:iCs w:val="false"/>
          <w:color w:val="000000"/>
          <w:sz w:val="20"/>
          <w:szCs w:val="20"/>
        </w:rPr>
        <w:t xml:space="preserve">La arquitectura del sistema debe dar respuesta explícita a estos tres vectores de riesgo antes de iniciar el diseño detallado. Las decisiones abiertas identificadas en la sección 7 —especialmente la capacidad de la batería, la potencia del amplificador, la cantidad de RAM, la estrategia de procesamiento ASR y la topología de alimentación— son las que mayor impacto tendrán sobre la viabilidad técnica del conjunto. Su resolución oportuna es condición necesaria para que el diseño de subsistemas sea arquitectónicamente coherente y los requisitos de ALMA puedan cumplirse de forma simultánea y verificable.</w:t>
      </w:r>
    </w:p>
    <w:p>
      <w:pPr>
        <w:spacing w:after="60" w:before="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44"/>
      <w:szCs w:val="44"/>
    </w:rPr>
  </w:style>
  <w:style w:type="paragraph" w:styleId="Heading2">
    <w:name w:val="Heading 2"/>
    <w:basedOn w:val="Normal"/>
    <w:next w:val="Normal"/>
    <w:qFormat/>
    <w:pPr>
      <w:spacing w:after="120" w:before="280"/>
      <w:outlineLvl w:val="1"/>
    </w:pPr>
    <w:rPr>
      <w:rFonts w:ascii="Arial" w:cs="Arial" w:eastAsia="Arial" w:hAnsi="Arial"/>
      <w:b/>
      <w:bCs/>
      <w:color w:val="2E5FA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5FA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2026-04-27T01:50:57.720Z</dcterms:created>
  <dcterms:modified xsi:type="dcterms:W3CDTF">2026-04-27T01:50:57.722Z</dcterms:modified>
</cp:coreProperties>
</file>

<file path=docProps/custom.xml><?xml version="1.0" encoding="utf-8"?>
<Properties xmlns="http://schemas.openxmlformats.org/officeDocument/2006/custom-properties" xmlns:vt="http://schemas.openxmlformats.org/officeDocument/2006/docPropsVTypes"/>
</file>