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estudio</w:t>
        <w:br/>
      </w:r>
      <w:r>
        <w:rPr>
          <w:sz w:val="38"/>
        </w:rPr>
        <w:t>Incorporación de restricciones en modelos de aprendizaje automático</w:t>
      </w:r>
    </w:p>
    <w:p>
      <w:pPr>
        <w:jc w:val="center"/>
      </w:pPr>
      <w:r>
        <w:rPr>
          <w:b/>
          <w:color w:val="4F6278"/>
          <w:sz w:val="24"/>
        </w:rPr>
        <w:t>Texto de apoyo para una exposición de 20 minutos</w:t>
      </w:r>
    </w:p>
    <w:p/>
    <w:tbl>
      <w:tblPr>
        <w:tblW w:type="auto" w:w="0"/>
        <w:jc w:val="center"/>
        <w:tblLook w:firstColumn="1" w:firstRow="1" w:lastColumn="0" w:lastRow="0" w:noHBand="0" w:noVBand="1" w:val="04A0"/>
      </w:tblPr>
      <w:tblGrid>
        <w:gridCol w:w="9792"/>
      </w:tblGrid>
      <w:tr>
        <w:tc>
          <w:tcPr>
            <w:tcW w:type="dxa" w:w="9792"/>
            <w:shd w:fill="EEF5FF"/>
            <w:tcMar>
              <w:top w:w="120" w:type="dxa"/>
              <w:start w:w="150" w:type="dxa"/>
              <w:bottom w:w="120" w:type="dxa"/>
              <w:end w:w="150" w:type="dxa"/>
            </w:tcMar>
          </w:tcPr>
          <w:p>
            <w:r>
              <w:rPr>
                <w:b/>
                <w:color w:val="1F4E79"/>
              </w:rPr>
              <w:t xml:space="preserve">Propósito: </w:t>
            </w:r>
            <w:r>
              <w:t>este documento es más completo que las diapositivas. Sirve para estudiar conceptos, matemáticas, ejemplos e ideas de demostración. En la exposición deben mostrarse solo las ecuaciones, gráficas y fragmentos de código que ayuden a entender la historia.</w:t>
            </w:r>
          </w:p>
        </w:tc>
      </w:tr>
    </w:tbl>
    <w:p>
      <w:pPr>
        <w:spacing w:after="0"/>
      </w:pPr>
    </w:p>
    <w:p>
      <w:pPr>
        <w:pStyle w:val="Heading1"/>
      </w:pPr>
      <w:r>
        <w:t>Mapa general de la exposición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r>
              <w:rPr>
                <w:b/>
              </w:rPr>
              <w:t>Persona</w:t>
            </w:r>
          </w:p>
        </w:tc>
        <w:tc>
          <w:tcPr>
            <w:tcW w:type="dxa" w:w="2448"/>
            <w:shd w:fill="D9EAF7"/>
            <w:vAlign w:val="center"/>
          </w:tcPr>
          <w:p>
            <w:r>
              <w:rPr>
                <w:b/>
              </w:rPr>
              <w:t>Bloque</w:t>
            </w:r>
          </w:p>
        </w:tc>
        <w:tc>
          <w:tcPr>
            <w:tcW w:type="dxa" w:w="2448"/>
            <w:shd w:fill="D9EAF7"/>
            <w:vAlign w:val="center"/>
          </w:tcPr>
          <w:p>
            <w:r>
              <w:rPr>
                <w:b/>
              </w:rPr>
              <w:t>Objetivo</w:t>
            </w:r>
          </w:p>
        </w:tc>
        <w:tc>
          <w:tcPr>
            <w:tcW w:type="dxa" w:w="2448"/>
            <w:shd w:fill="D9EAF7"/>
            <w:vAlign w:val="center"/>
          </w:tcPr>
          <w:p>
            <w:r>
              <w:rPr>
                <w:b/>
              </w:rPr>
              <w:t>Qué mostrar</w:t>
            </w:r>
          </w:p>
        </w:tc>
      </w:tr>
      <w:tr>
        <w:tc>
          <w:tcPr>
            <w:tcW w:type="dxa" w:w="2448"/>
            <w:tcMar>
              <w:top w:w="80" w:type="dxa"/>
              <w:start w:w="90" w:type="dxa"/>
              <w:bottom w:w="80" w:type="dxa"/>
              <w:end w:w="90" w:type="dxa"/>
            </w:tcMar>
          </w:tcPr>
          <w:p>
            <w:r>
              <w:t>1</w:t>
            </w:r>
          </w:p>
        </w:tc>
        <w:tc>
          <w:tcPr>
            <w:tcW w:type="dxa" w:w="2448"/>
            <w:tcMar>
              <w:top w:w="80" w:type="dxa"/>
              <w:start w:w="90" w:type="dxa"/>
              <w:bottom w:w="80" w:type="dxa"/>
              <w:end w:w="90" w:type="dxa"/>
            </w:tcMar>
          </w:tcPr>
          <w:p>
            <w:r>
              <w:t>Fundamentos y motivación</w:t>
            </w:r>
          </w:p>
        </w:tc>
        <w:tc>
          <w:tcPr>
            <w:tcW w:type="dxa" w:w="2448"/>
            <w:tcMar>
              <w:top w:w="80" w:type="dxa"/>
              <w:start w:w="90" w:type="dxa"/>
              <w:bottom w:w="80" w:type="dxa"/>
              <w:end w:w="90" w:type="dxa"/>
            </w:tcMar>
          </w:tcPr>
          <w:p>
            <w:r>
              <w:t>Entender por qué un modelo preciso puede ser inválido</w:t>
            </w:r>
          </w:p>
        </w:tc>
        <w:tc>
          <w:tcPr>
            <w:tcW w:type="dxa" w:w="2448"/>
            <w:tcMar>
              <w:top w:w="80" w:type="dxa"/>
              <w:start w:w="90" w:type="dxa"/>
              <w:bottom w:w="80" w:type="dxa"/>
              <w:end w:w="90" w:type="dxa"/>
            </w:tcMar>
          </w:tcPr>
          <w:p>
            <w:r>
              <w:t>Gráfica intuitiva + hard vs. soft</w:t>
            </w:r>
          </w:p>
        </w:tc>
      </w:tr>
      <w:tr>
        <w:tc>
          <w:tcPr>
            <w:tcW w:type="dxa" w:w="2448"/>
            <w:tcMar>
              <w:top w:w="80" w:type="dxa"/>
              <w:start w:w="90" w:type="dxa"/>
              <w:bottom w:w="80" w:type="dxa"/>
              <w:end w:w="90" w:type="dxa"/>
            </w:tcMar>
          </w:tcPr>
          <w:p>
            <w:r>
              <w:t>2</w:t>
            </w:r>
          </w:p>
        </w:tc>
        <w:tc>
          <w:tcPr>
            <w:tcW w:type="dxa" w:w="2448"/>
            <w:tcMar>
              <w:top w:w="80" w:type="dxa"/>
              <w:start w:w="90" w:type="dxa"/>
              <w:bottom w:w="80" w:type="dxa"/>
              <w:end w:w="90" w:type="dxa"/>
            </w:tcMar>
          </w:tcPr>
          <w:p>
            <w:r>
              <w:t>Matemáticas y formas de incorporación</w:t>
            </w:r>
          </w:p>
        </w:tc>
        <w:tc>
          <w:tcPr>
            <w:tcW w:type="dxa" w:w="2448"/>
            <w:tcMar>
              <w:top w:w="80" w:type="dxa"/>
              <w:start w:w="90" w:type="dxa"/>
              <w:bottom w:w="80" w:type="dxa"/>
              <w:end w:w="90" w:type="dxa"/>
            </w:tcMar>
          </w:tcPr>
          <w:p>
            <w:r>
              <w:t>Ubicar restricciones en optimización, arquitectura, entrenamiento e inferencia</w:t>
            </w:r>
          </w:p>
        </w:tc>
        <w:tc>
          <w:tcPr>
            <w:tcW w:type="dxa" w:w="2448"/>
            <w:tcMar>
              <w:top w:w="80" w:type="dxa"/>
              <w:start w:w="90" w:type="dxa"/>
              <w:bottom w:w="80" w:type="dxa"/>
              <w:end w:w="90" w:type="dxa"/>
            </w:tcMar>
          </w:tcPr>
          <w:p>
            <w:r>
              <w:t>Región factible + 2 ecuaciones</w:t>
            </w:r>
          </w:p>
        </w:tc>
      </w:tr>
      <w:tr>
        <w:tc>
          <w:tcPr>
            <w:tcW w:type="dxa" w:w="2448"/>
            <w:tcMar>
              <w:top w:w="80" w:type="dxa"/>
              <w:start w:w="90" w:type="dxa"/>
              <w:bottom w:w="80" w:type="dxa"/>
              <w:end w:w="90" w:type="dxa"/>
            </w:tcMar>
          </w:tcPr>
          <w:p>
            <w:r>
              <w:t>3</w:t>
            </w:r>
          </w:p>
        </w:tc>
        <w:tc>
          <w:tcPr>
            <w:tcW w:type="dxa" w:w="2448"/>
            <w:tcMar>
              <w:top w:w="80" w:type="dxa"/>
              <w:start w:w="90" w:type="dxa"/>
              <w:bottom w:w="80" w:type="dxa"/>
              <w:end w:w="90" w:type="dxa"/>
            </w:tcMar>
          </w:tcPr>
          <w:p>
            <w:r>
              <w:t>Modelos reales</w:t>
            </w:r>
          </w:p>
        </w:tc>
        <w:tc>
          <w:tcPr>
            <w:tcW w:type="dxa" w:w="2448"/>
            <w:tcMar>
              <w:top w:w="80" w:type="dxa"/>
              <w:start w:w="90" w:type="dxa"/>
              <w:bottom w:w="80" w:type="dxa"/>
              <w:end w:w="90" w:type="dxa"/>
            </w:tcMar>
          </w:tcPr>
          <w:p>
            <w:r>
              <w:t>Mostrar restricciones en boosting, redes y PINNs</w:t>
            </w:r>
          </w:p>
        </w:tc>
        <w:tc>
          <w:tcPr>
            <w:tcW w:type="dxa" w:w="2448"/>
            <w:tcMar>
              <w:top w:w="80" w:type="dxa"/>
              <w:start w:w="90" w:type="dxa"/>
              <w:bottom w:w="80" w:type="dxa"/>
              <w:end w:w="90" w:type="dxa"/>
            </w:tcMar>
          </w:tcPr>
          <w:p>
            <w:r>
              <w:t>Código XGBoost + gráfica + diagrama PINN</w:t>
            </w:r>
          </w:p>
        </w:tc>
      </w:tr>
      <w:tr>
        <w:tc>
          <w:tcPr>
            <w:tcW w:type="dxa" w:w="2448"/>
            <w:tcMar>
              <w:top w:w="80" w:type="dxa"/>
              <w:start w:w="90" w:type="dxa"/>
              <w:bottom w:w="80" w:type="dxa"/>
              <w:end w:w="90" w:type="dxa"/>
            </w:tcMar>
          </w:tcPr>
          <w:p>
            <w:r>
              <w:t>4</w:t>
            </w:r>
          </w:p>
        </w:tc>
        <w:tc>
          <w:tcPr>
            <w:tcW w:type="dxa" w:w="2448"/>
            <w:tcMar>
              <w:top w:w="80" w:type="dxa"/>
              <w:start w:w="90" w:type="dxa"/>
              <w:bottom w:w="80" w:type="dxa"/>
              <w:end w:w="90" w:type="dxa"/>
            </w:tcMar>
          </w:tcPr>
          <w:p>
            <w:r>
              <w:t>Transformers y restricciones en inferencia</w:t>
            </w:r>
          </w:p>
        </w:tc>
        <w:tc>
          <w:tcPr>
            <w:tcW w:type="dxa" w:w="2448"/>
            <w:tcMar>
              <w:top w:w="80" w:type="dxa"/>
              <w:start w:w="90" w:type="dxa"/>
              <w:bottom w:w="80" w:type="dxa"/>
              <w:end w:w="90" w:type="dxa"/>
            </w:tcMar>
          </w:tcPr>
          <w:p>
            <w:r>
              <w:t>Mostrar cómo corregir los logits de un Transformer sin reentrenarlo</w:t>
            </w:r>
          </w:p>
        </w:tc>
        <w:tc>
          <w:tcPr>
            <w:tcW w:type="dxa" w:w="2448"/>
            <w:tcMar>
              <w:top w:w="80" w:type="dxa"/>
              <w:start w:w="90" w:type="dxa"/>
              <w:bottom w:w="80" w:type="dxa"/>
              <w:end w:w="90" w:type="dxa"/>
            </w:tcMar>
          </w:tcPr>
          <w:p>
            <w:r>
              <w:t>CCD sobre MAIRA-2: informe sin vs. con restricción + resultados</w:t>
            </w:r>
          </w:p>
        </w:tc>
      </w:tr>
    </w:tbl>
    <w:p>
      <w:r>
        <w:br w:type="page"/>
      </w:r>
    </w:p>
    <w:p>
      <w:pPr>
        <w:pStyle w:val="Heading1"/>
      </w:pPr>
      <w:r>
        <w:t>Persona 1 — Fundamentos y motivación</w:t>
      </w:r>
    </w:p>
    <w:p>
      <w:r>
        <w:t>El aprendizaje automático tradicional puede entenderse, de forma simplificada, como la búsqueda de una función parametrizada fθ que minimiza una función de pérdida sobre datos. Esa formulación puede escribirse como:</w:t>
      </w:r>
    </w:p>
    <w:p>
      <w:pPr>
        <w:spacing w:before="100" w:after="160"/>
        <w:jc w:val="center"/>
      </w:pPr>
      <w:r>
        <w:rPr>
          <w:rFonts w:ascii="Cambria Math" w:hAnsi="Cambria Math"/>
          <w:i/>
          <w:sz w:val="24"/>
        </w:rPr>
        <w:t>θ* = arg minθ  L(θ)</w:t>
      </w:r>
    </w:p>
    <w:p>
      <w:r>
        <w:t>El punto central es que minimizar el error observado no garantiza que todas las soluciones aprendidas sean aceptables. Los datos pueden ser escasos, ruidosos o no cubrir regiones importantes del espacio de entrada. Un modelo flexible puede predecir bien en promedio y, aun así, aprender relaciones que contradigan conocimiento físico, lógico, ético o de negocio.</w:t>
      </w:r>
    </w:p>
    <w:p>
      <w:r>
        <w:t>La incorporación de restricciones añade conocimiento previo sobre qué soluciones son admisibles. Una restricción puede expresar, por ejemplo, que una magnitud debe ser positiva, que una relación debe ser monotónica, que cierta ley física debe satisfacerse o que una salida estructurada debe respetar una gramática.</w:t>
      </w:r>
    </w:p>
    <w:p>
      <w:pPr>
        <w:pStyle w:val="Heading2"/>
      </w:pPr>
      <w:r>
        <w:t>Hard constraints y soft constraints</w:t>
      </w:r>
    </w:p>
    <w:p>
      <w:r>
        <w:t>Una restricción dura (hard constraint) define un conjunto factible que no se debe violar:</w:t>
      </w:r>
    </w:p>
    <w:p>
      <w:pPr>
        <w:spacing w:before="100" w:after="160"/>
        <w:jc w:val="center"/>
      </w:pPr>
      <w:r>
        <w:rPr>
          <w:rFonts w:ascii="Cambria Math" w:hAnsi="Cambria Math"/>
          <w:i/>
          <w:sz w:val="24"/>
        </w:rPr>
        <w:t>minθ L(θ)   sujeto a   gi(θ) ≤ 0,   hj(θ) = 0</w:t>
      </w:r>
    </w:p>
    <w:p>
      <w:r>
        <w:t>En una restricción suave (soft constraint), la violación se permite, pero se penaliza dentro del objetivo:</w:t>
      </w:r>
    </w:p>
    <w:p>
      <w:pPr>
        <w:spacing w:before="100" w:after="160"/>
        <w:jc w:val="center"/>
      </w:pPr>
      <w:r>
        <w:rPr>
          <w:rFonts w:ascii="Cambria Math" w:hAnsi="Cambria Math"/>
          <w:i/>
          <w:sz w:val="24"/>
        </w:rPr>
        <w:t>minθ  L(θ) + λ R(θ)</w:t>
      </w:r>
    </w:p>
    <w:p>
      <w:r>
        <w:t>El parámetro λ regula el compromiso entre ajustar los datos y respetar la preferencia o restricción. La idea de conjunto factible, restricciones de igualdad/desigualdad y multiplicadores de Lagrange pertenece a la formulación estándar de optimización restringida [1].</w:t>
      </w:r>
    </w:p>
    <w:p>
      <w:pPr>
        <w:pStyle w:val="Heading2"/>
      </w:pPr>
      <w:r>
        <w:t>Regularización no es sinónimo de restricción</w:t>
      </w:r>
    </w:p>
    <w:p>
      <w:r>
        <w:t>La regularización es una familia de estrategias que introducen preferencias sobre la solución para mejorar la generalización. Puede verse como un caso importante de restricción suave, pero el campo de aprendizaje restringido es más amplio: también incluye límites explícitos, restricciones arquitectónicas, reglas de inferencia, proyecciones y gramáticas de salida. Goodfellow, Bengio y Courville definen la regularización como cualquier modificación del algoritmo de aprendizaje destinada a reducir el error de generalización, pero no el error de entrenamiento [2], mientras que Hastie, Tibshirani y Friedman desarrollan L1/L2, selección y control de complejidad en el contexto estadístico [3]. Ojo: no toda regularización es una penalización λ R(θ); dropout, early stopping o data augmentation también regularizan, pero no añaden un término explícito a la pérdida.</w:t>
      </w:r>
    </w:p>
    <w:tbl>
      <w:tblPr>
        <w:tblW w:type="auto" w:w="0"/>
        <w:jc w:val="center"/>
        <w:tblLook w:firstColumn="1" w:firstRow="1" w:lastColumn="0" w:lastRow="0" w:noHBand="0" w:noVBand="1" w:val="04A0"/>
      </w:tblPr>
      <w:tblGrid>
        <w:gridCol w:w="9792"/>
      </w:tblGrid>
      <w:tr>
        <w:tc>
          <w:tcPr>
            <w:tcW w:type="dxa" w:w="9792"/>
            <w:shd w:fill="EEF5FF"/>
            <w:tcMar>
              <w:top w:w="120" w:type="dxa"/>
              <w:start w:w="150" w:type="dxa"/>
              <w:bottom w:w="120" w:type="dxa"/>
              <w:end w:w="150" w:type="dxa"/>
            </w:tcMar>
          </w:tcPr>
          <w:p>
            <w:r>
              <w:rPr>
                <w:b/>
                <w:color w:val="1F4E79"/>
              </w:rPr>
              <w:t xml:space="preserve">Sugerencia para presentar: </w:t>
            </w:r>
            <w:r>
              <w:t>mostrar dos curvas que ajustan de manera parecida los datos, pero donde una oscila de forma absurda y la otra respeta una relación conocida. Preguntar al público: “si ambas tienen error parecido, ¿cuál escogerían?”.</w:t>
            </w:r>
          </w:p>
        </w:tc>
      </w:tr>
    </w:tbl>
    <w:p>
      <w:pPr>
        <w:spacing w:after="0"/>
      </w:pPr>
    </w:p>
    <w:p>
      <w:pPr>
        <w:pStyle w:val="Heading1"/>
      </w:pPr>
      <w:r>
        <w:t>Persona 2 — Matemáticas y formas de incorporación</w:t>
      </w:r>
    </w:p>
    <w:p>
      <w:pPr>
        <w:pStyle w:val="Heading2"/>
      </w:pPr>
      <w:r>
        <w:t>Restricciones suaves mediante penalizaciones</w:t>
      </w:r>
    </w:p>
    <w:p>
      <w:r>
        <w:t>Una forma general de incorporar una restricción suave es añadir un término adicional a la función objetivo:</w:t>
      </w:r>
    </w:p>
    <w:p>
      <w:pPr>
        <w:spacing w:before="100" w:after="160"/>
        <w:jc w:val="center"/>
      </w:pPr>
      <w:r>
        <w:rPr>
          <w:rFonts w:ascii="Cambria Math" w:hAnsi="Cambria Math"/>
          <w:i/>
          <w:sz w:val="24"/>
        </w:rPr>
        <w:t>Ltotal = Ldatos + λ Lrestricción</w:t>
      </w:r>
    </w:p>
    <w:p>
      <w:r>
        <w:t>Ridge y Lasso son ejemplos conocidos. Para Ridge, la penalización es cuadrática; para Lasso, es el valor absoluto de los coeficientes:</w:t>
      </w:r>
    </w:p>
    <w:p>
      <w:pPr>
        <w:spacing w:before="100" w:after="160"/>
        <w:jc w:val="center"/>
      </w:pPr>
      <w:r>
        <w:rPr>
          <w:rFonts w:ascii="Cambria Math" w:hAnsi="Cambria Math"/>
          <w:i/>
          <w:sz w:val="24"/>
        </w:rPr>
        <w:t>Ridge:  Ltotal = Ldatos + λ Σj θj²</w:t>
      </w:r>
    </w:p>
    <w:p>
      <w:pPr>
        <w:spacing w:before="100" w:after="160"/>
        <w:jc w:val="center"/>
      </w:pPr>
      <w:r>
        <w:rPr>
          <w:rFonts w:ascii="Cambria Math" w:hAnsi="Cambria Math"/>
          <w:i/>
          <w:sz w:val="24"/>
        </w:rPr>
        <w:t>Lasso:  Ltotal = Ldatos + λ Σj |θj|</w:t>
      </w:r>
    </w:p>
    <w:p>
      <w:r>
        <w:t>No es necesario volver a enseñar estos métodos en detalle. Su función en la exposición es mostrar que el público ya ha trabajado con una idea de “restringir” un modelo: limitar soluciones extremas o demasiado complejas.</w:t>
      </w:r>
    </w:p>
    <w:p>
      <w:r>
        <w:t xml:space="preserve">Conexión con las restricciones duras: en problemas convexos como la regresión lineal, la forma penalizada de Ridge y Lasso es equivalente a una forma restringida. Para cada λ ≥ 0 existe un umbral t que produce la misma solución, y viceversa:</w:t>
      </w:r>
    </w:p>
    <w:p>
      <w:pPr>
        <w:spacing w:before="100" w:after="160"/>
        <w:jc w:val="center"/>
      </w:pPr>
      <w:r>
        <w:rPr>
          <w:rFonts w:ascii="Cambria Math" w:hAnsi="Cambria Math"/>
          <w:i/>
          <w:sz w:val="24"/>
        </w:rPr>
        <w:t xml:space="preserve">min Ldatos  sujeto a  Σj θj² ≤ t   (Ridge)      min Ldatos  sujeto a  Σj |θj| ≤ t   (Lasso)</w:t>
      </w:r>
    </w:p>
    <w:p>
      <w:r>
        <w:t xml:space="preserve">Así, la misma idea puede leerse como restricción suave (penalización) o como restricción dura (conjunto factible). Goodfellow et al. lo desarrollan en la sección 7.2 [2] y Hastie et al. en la sección 3.4 [3].</w:t>
      </w:r>
    </w:p>
    <w:p>
      <w:pPr>
        <w:pStyle w:val="Heading2"/>
      </w:pPr>
      <w:r>
        <w:t>Restricciones explícitas y Lagrangiano</w:t>
      </w:r>
    </w:p>
    <w:p>
      <w:r>
        <w:t>Si se desea minimizar una pérdida bajo desigualdades gi(θ) ≤ 0, se puede construir un Lagrangiano:</w:t>
      </w:r>
    </w:p>
    <w:p>
      <w:pPr>
        <w:spacing w:before="100" w:after="160"/>
        <w:jc w:val="center"/>
      </w:pPr>
      <w:r>
        <w:rPr>
          <w:rFonts w:ascii="Cambria Math" w:hAnsi="Cambria Math"/>
          <w:i/>
          <w:sz w:val="24"/>
        </w:rPr>
        <w:t>ℒ(θ, λ) = L(θ) + Σi λi gi(θ),   con λi ≥ 0</w:t>
      </w:r>
    </w:p>
    <w:p>
      <w:r>
        <w:t>La intuición es que cada multiplicador λi funciona como un “precio” asociado a la violación de una restricción. Para una exposición breve no hace falta desarrollar dualidad ni condiciones KKT; basta con explicar que esta herramienta permite convertir un problema restringido en uno donde el cumplimiento de reglas forma parte explícita de la optimización [1]. Ojo con la notación: aquí los λi no son un hiperparámetro fijo como el λ de la penalización suave, sino variables duales que también se ajustan. Bajo convexidad, resolver el problema restringido equivale a buscar un punto de silla (minimizar en θ y maximizar en λ ≥ 0); minimizar ℒ con λ fijo no garantiza, en general, que se cumplan las restricciones.</w:t>
      </w:r>
    </w:p>
    <w:p>
      <w:pPr>
        <w:pStyle w:val="Heading2"/>
      </w:pPr>
      <w:r>
        <w:t>¿En qué momento se puede imponer una restricción?</w:t>
      </w:r>
    </w:p>
    <w:p>
      <w:pPr>
        <w:pStyle w:val="ListBullet"/>
      </w:pPr>
      <w:r>
        <w:t>Arquitectura: se diseña el modelo de modo que ciertas salidas o parámetros no puedan violar la regla.</w:t>
      </w:r>
    </w:p>
    <w:p>
      <w:pPr>
        <w:pStyle w:val="ListBullet"/>
      </w:pPr>
      <w:r>
        <w:t>Entrenamiento: se modifica la función de pérdida o el problema de optimización.</w:t>
      </w:r>
    </w:p>
    <w:p>
      <w:pPr>
        <w:pStyle w:val="ListBullet"/>
      </w:pPr>
      <w:r>
        <w:t>Inferencia: se restringen las salidas permitidas cuando el modelo ya está entrenado.</w:t>
      </w:r>
    </w:p>
    <w:p>
      <w:pPr>
        <w:pStyle w:val="ListBullet"/>
      </w:pPr>
      <w:r>
        <w:t>Postprocesamiento: se corrige o proyecta una predicción sobre un conjunto válido después de generarla.</w:t>
      </w:r>
    </w:p>
    <w:tbl>
      <w:tblPr>
        <w:tblW w:type="auto" w:w="0"/>
        <w:jc w:val="center"/>
        <w:tblLook w:firstColumn="1" w:firstRow="1" w:lastColumn="0" w:lastRow="0" w:noHBand="0" w:noVBand="1" w:val="04A0"/>
      </w:tblPr>
      <w:tblGrid>
        <w:gridCol w:w="9792"/>
      </w:tblGrid>
      <w:tr>
        <w:tc>
          <w:tcPr>
            <w:tcW w:type="dxa" w:w="9792"/>
            <w:shd w:fill="EEF5FF"/>
            <w:tcMar>
              <w:top w:w="120" w:type="dxa"/>
              <w:start w:w="150" w:type="dxa"/>
              <w:bottom w:w="120" w:type="dxa"/>
              <w:end w:w="150" w:type="dxa"/>
            </w:tcMar>
          </w:tcPr>
          <w:p>
            <w:r>
              <w:rPr>
                <w:b/>
                <w:color w:val="1F4E79"/>
              </w:rPr>
              <w:t xml:space="preserve">Sugerencia para presentar: </w:t>
            </w:r>
            <w:r>
              <w:t>dibujar una región factible en 2D. Mostrar primero el mínimo libre de la pérdida fuera de la región y luego el mínimo restringido sobre la frontera. Después usar el flujo Arquitectura → Entrenamiento → Inferencia → Postprocesamiento para organizar el resto de la exposición.</w:t>
            </w:r>
          </w:p>
        </w:tc>
      </w:tr>
    </w:tbl>
    <w:p>
      <w:pPr>
        <w:spacing w:after="0"/>
      </w:pPr>
    </w:p>
    <w:p>
      <w:pPr>
        <w:pStyle w:val="Heading1"/>
      </w:pPr>
      <w:r>
        <w:t>Persona 3 — Cómo se ve en modelos reales</w:t>
      </w:r>
    </w:p>
    <w:p>
      <w:pPr>
        <w:pStyle w:val="Heading2"/>
      </w:pPr>
      <w:r>
        <w:t>Caso 1: monotonía en árboles y boosting</w:t>
      </w:r>
    </w:p>
    <w:p>
      <w:r>
        <w:t>Supongamos que se quiere que la predicción f(x) sea creciente respecto de una característica xj. Una definición global de monotonía es:</w:t>
      </w:r>
    </w:p>
    <w:p>
      <w:pPr>
        <w:spacing w:before="100" w:after="160"/>
        <w:jc w:val="center"/>
      </w:pPr>
      <w:r>
        <w:rPr>
          <w:rFonts w:ascii="Cambria Math" w:hAnsi="Cambria Math"/>
          <w:i/>
          <w:sz w:val="24"/>
        </w:rPr>
        <w:t>xj ≤ x′j  ⇒  f(x1,…,xj,…,xp) ≤ f(x1,…,x′j,…,xp)</w:t>
      </w:r>
    </w:p>
    <w:p>
      <w:r>
        <w:t>Si la función es diferenciable, una condición local equivalente es ∂f/∂xj ≥ 0. La restricción debe estar justificada por conocimiento del dominio; no conviene imponer monotonía solo porque parezca intuitiva.</w:t>
      </w:r>
    </w:p>
    <w:p>
      <w:r>
        <w:t>XGBoost permite especificar monotone_constraints. Una entrada +1 fuerza una relación no decreciente, −1 una relación no creciente y 0 deja la variable sin restricción [4]. LightGBM ofrece una capacidad equivalente [5].</w:t>
      </w:r>
    </w:p>
    <w:p>
      <w:pPr>
        <w:pStyle w:val="CodeBlock"/>
        <w:spacing w:before="80" w:after="160"/>
        <w:shd w:fill="F4F6F8"/>
        <w:pBdr>
          <w:bottom w:val="single" w:sz="4" w:color="D9E2F3"/>
        </w:pBdr>
      </w:pPr>
      <w:r>
        <w:rPr>
          <w:rFonts w:ascii="Liberation Mono" w:hAnsi="Liberation Mono"/>
          <w:sz w:val="19"/>
        </w:rPr>
        <w:t>model = xgb.XGBRegressor(</w:t>
        <w:br/>
        <w:t xml:space="preserve">    monotone_constraints=(1, -1, 0)</w:t>
        <w:br/>
        <w:t>)</w:t>
      </w:r>
    </w:p>
    <w:p>
      <w:r>
        <w:t>Ejemplo financiero: si una variable de utilización de deuda aumenta, el dominio puede justificar que el riesgo estimado no disminuya arbitrariamente, manteniendo las demás variables fijas. La idea didáctica no es afirmar una regla universal de crédito, sino mostrar cómo un experto puede codificar una relación monotónica cuando esa relación está validada por el problema.</w:t>
      </w:r>
    </w:p>
    <w:tbl>
      <w:tblPr>
        <w:tblW w:type="auto" w:w="0"/>
        <w:jc w:val="center"/>
        <w:tblLook w:firstColumn="1" w:firstRow="1" w:lastColumn="0" w:lastRow="0" w:noHBand="0" w:noVBand="1" w:val="04A0"/>
      </w:tblPr>
      <w:tblGrid>
        <w:gridCol w:w="9792"/>
      </w:tblGrid>
      <w:tr>
        <w:tc>
          <w:tcPr>
            <w:tcW w:type="dxa" w:w="9792"/>
            <w:shd w:fill="EEF5FF"/>
            <w:tcMar>
              <w:top w:w="120" w:type="dxa"/>
              <w:start w:w="150" w:type="dxa"/>
              <w:bottom w:w="120" w:type="dxa"/>
              <w:end w:w="150" w:type="dxa"/>
            </w:tcMar>
          </w:tcPr>
          <w:p>
            <w:r>
              <w:rPr>
                <w:b/>
                <w:color w:val="1F4E79"/>
              </w:rPr>
              <w:t xml:space="preserve">Sugerencia para presentar: </w:t>
            </w:r>
            <w:r>
              <w:t>entrenar dos modelos pequeños sobre datos sintéticos: XGBoost libre y XGBoost monotónico. Graficar la predicción frente a una sola variable manteniendo las demás fijas. La comparación visual suele ser más clara que varias diapositivas de teoría.</w:t>
            </w:r>
          </w:p>
        </w:tc>
      </w:tr>
    </w:tbl>
    <w:p>
      <w:pPr>
        <w:spacing w:after="0"/>
      </w:pPr>
    </w:p>
    <w:p>
      <w:pPr>
        <w:pStyle w:val="Heading2"/>
      </w:pPr>
      <w:r>
        <w:t>Caso 2: restricciones en redes neuronales</w:t>
      </w:r>
    </w:p>
    <w:p>
      <w:r>
        <w:t>Las restricciones pueden estar en la parametrización. Si un parámetro w debe ser positivo, en lugar de optimizarlo directamente se puede definir:</w:t>
      </w:r>
    </w:p>
    <w:p>
      <w:pPr>
        <w:spacing w:before="100" w:after="160"/>
        <w:jc w:val="center"/>
      </w:pPr>
      <w:r>
        <w:rPr>
          <w:rFonts w:ascii="Cambria Math" w:hAnsi="Cambria Math"/>
          <w:i/>
          <w:sz w:val="24"/>
        </w:rPr>
        <w:t>w = softplus(v)  &gt;  0</w:t>
      </w:r>
    </w:p>
    <w:p>
      <w:r>
        <w:t>El optimizador modifica v, pero la transformación garantiza que w sea positivo. En este caso no se penaliza una violación: la parametrización elimina de antemano las soluciones inválidas. Arquitecturas como Deep Lattice Networks fueron diseñadas para aprender funciones con garantías de monotonía parcial mediante capas y proyecciones restringidas [6].</w:t>
      </w:r>
    </w:p>
    <w:p>
      <w:pPr>
        <w:pStyle w:val="Heading2"/>
      </w:pPr>
      <w:r>
        <w:t>Caso 3: Physics-Informed Neural Networks (PINNs)</w:t>
      </w:r>
    </w:p>
    <w:p>
      <w:r>
        <w:t>Una PINN combina datos con ecuaciones físicas. Si una variable u(x,t) debe satisfacer una ecuación diferencial N[u]=0, una red uθ(x,t) puede evaluarse dentro de la propia ecuación para calcular un residuo:</w:t>
      </w:r>
    </w:p>
    <w:p>
      <w:pPr>
        <w:spacing w:before="100" w:after="160"/>
        <w:jc w:val="center"/>
      </w:pPr>
      <w:r>
        <w:rPr>
          <w:rFonts w:ascii="Cambria Math" w:hAnsi="Cambria Math"/>
          <w:i/>
          <w:sz w:val="24"/>
        </w:rPr>
        <w:t>rθ(x,t) = N[uθ(x,t)]</w:t>
      </w:r>
    </w:p>
    <w:p>
      <w:r>
        <w:t>Una función de pérdida típica combina ajuste a datos, física y condiciones de frontera:</w:t>
      </w:r>
    </w:p>
    <w:p>
      <w:pPr>
        <w:spacing w:before="100" w:after="160"/>
        <w:jc w:val="center"/>
      </w:pPr>
      <w:r>
        <w:rPr>
          <w:rFonts w:ascii="Cambria Math" w:hAnsi="Cambria Math"/>
          <w:i/>
          <w:sz w:val="24"/>
        </w:rPr>
        <w:t>L = λd Ldatos + λf Lfísica + λb Lfrontera</w:t>
      </w:r>
    </w:p>
    <w:p>
      <w:pPr>
        <w:spacing w:before="100" w:after="160"/>
        <w:jc w:val="center"/>
      </w:pPr>
      <w:r>
        <w:rPr>
          <w:rFonts w:ascii="Cambria Math" w:hAnsi="Cambria Math"/>
          <w:i/>
          <w:sz w:val="24"/>
        </w:rPr>
        <w:t>Lfísica = (1/N) Σi |rθ(xi,ti)|²</w:t>
      </w:r>
    </w:p>
    <w:p>
      <w:r>
        <w:t>El trabajo de Raissi, Perdikaris y Karniadakis popularizó este enfoque para problemas directos e inversos gobernados por ecuaciones diferenciales [7]. En una PINN tradicional la física suele incorporarse como restricción suave: se penaliza el residuo, pero no siempre se garantiza que sea exactamente cero. La idea de resolver ecuaciones diferenciales con redes neuronales es anterior: Lagaris, Likas y Fotiadis [12] ya construían soluciones que satisfacen las condiciones de frontera por construcción (una restricción dura). Además, los pesos λd, λf, λb no aparecen en la formulación original de [7], que suma los términos sin ponderar; ponderarlos es una práctica posterior para equilibrar el entrenamiento.</w:t>
      </w:r>
    </w:p>
    <w:tbl>
      <w:tblPr>
        <w:tblW w:type="auto" w:w="0"/>
        <w:jc w:val="center"/>
        <w:tblLook w:firstColumn="1" w:firstRow="1" w:lastColumn="0" w:lastRow="0" w:noHBand="0" w:noVBand="1" w:val="04A0"/>
      </w:tblPr>
      <w:tblGrid>
        <w:gridCol w:w="9792"/>
      </w:tblGrid>
      <w:tr>
        <w:tc>
          <w:tcPr>
            <w:tcW w:type="dxa" w:w="9792"/>
            <w:shd w:fill="EEF5FF"/>
            <w:tcMar>
              <w:top w:w="120" w:type="dxa"/>
              <w:start w:w="150" w:type="dxa"/>
              <w:bottom w:w="120" w:type="dxa"/>
              <w:end w:w="150" w:type="dxa"/>
            </w:tcMar>
          </w:tcPr>
          <w:p>
            <w:r>
              <w:rPr>
                <w:b/>
                <w:color w:val="1F4E79"/>
              </w:rPr>
              <w:t xml:space="preserve">Sugerencia para presentar: </w:t>
            </w:r>
            <w:r>
              <w:t>no ejecutar tres demos. Mostrar una sola demo real de monotonía y usar un esquema visual para redes y PINNs: datos + ecuación física → pérdida → red. El objetivo es mostrar variedad de mecanismos, no profundizar en cada arquitectura.</w:t>
            </w:r>
          </w:p>
        </w:tc>
      </w:tr>
    </w:tbl>
    <w:p>
      <w:pPr>
        <w:spacing w:after="0"/>
      </w:pPr>
    </w:p>
    <w:p>
      <w:pPr>
        <w:pStyle w:val="Heading1"/>
      </w:pPr>
      <w:r>
        <w:t>Persona 4 — Transformers y restricciones en inferencia</w:t>
      </w:r>
    </w:p>
    <w:p>
      <w:pPr>
        <w:pStyle w:val="Heading2"/>
      </w:pPr>
      <w:r>
        <w:t>Generación autorregresiva</w:t>
      </w:r>
    </w:p>
    <w:p>
      <w:r>
        <w:t>Un modelo de lenguaje autorregresivo genera una secuencia token a token. La probabilidad conjunta puede factorizarse como:</w:t>
      </w:r>
    </w:p>
    <w:p>
      <w:pPr>
        <w:spacing w:before="100" w:after="160"/>
        <w:jc w:val="center"/>
      </w:pPr>
      <w:r>
        <w:rPr>
          <w:rFonts w:ascii="Cambria Math" w:hAnsi="Cambria Math"/>
          <w:i/>
          <w:sz w:val="24"/>
        </w:rPr>
        <w:t>P(y1,…,yT | x) = Πt P(yt | y&lt;t, x)</w:t>
      </w:r>
    </w:p>
    <w:p>
      <w:r>
        <w:t>En cada paso el modelo produce logits sobre el vocabulario y un método de decoding decide qué token seleccionar. La formulación estándar de modelos de lenguaje, Transformers y decoding se desarrolla en Jurafsky y Martin [8].</w:t>
      </w:r>
    </w:p>
    <w:p>
      <w:pPr>
        <w:pStyle w:val="Heading2"/>
      </w:pPr>
      <w:r>
        <w:t>Constrained decoding</w:t>
      </w:r>
    </w:p>
    <w:p>
      <w:r>
        <w:t>Si la salida debe respetar una gramática o esquema G, después de un prefijo st se puede definir el conjunto A(st) de tokens que todavía permiten completar una salida válida. Conceptualmente, los logits se modifican así:</w:t>
      </w:r>
    </w:p>
    <w:p>
      <w:pPr>
        <w:spacing w:before="100" w:after="160"/>
        <w:jc w:val="center"/>
      </w:pPr>
      <w:r>
        <w:rPr>
          <w:rFonts w:ascii="Cambria Math" w:hAnsi="Cambria Math"/>
          <w:i/>
          <w:sz w:val="24"/>
        </w:rPr>
        <w:t>z′k = zk  si k ∈ A(st);      z′k = −∞  si k ∉ A(st)</w:t>
      </w:r>
    </w:p>
    <w:p>
      <w:r>
        <w:t>Después se aplica softmax sobre los logits filtrados. Los tokens incompatibles quedan con probabilidad cero. Lo importante para la exposición es que esta operación sucede durante inferencia: los pesos del Transformer no cambian y no es necesario reentrenar el modelo. Un matiz: aplicar la máscara token a token garantiza la gramática, pero distorsiona la distribución del modelo; la salida resultante no es necesariamente la que el modelo consideraría más probable entre todas las salidas válidas [13].</w:t>
      </w:r>
    </w:p>
    <w:p>
      <w:r>
        <w:t>El constrained decoding tiene antecedentes en restricciones léxicas durante decoding [9] y se ha desarrollado para tareas estructuradas con gramáticas formales sin fine-tuning [10]. PICARD es un ejemplo conocido aplicado a generación de SQL mediante parsing incremental: en cada paso revisa los tokens candidatos más probables y rechaza los inadmisibles [11].</w:t>
      </w:r>
    </w:p>
    <w:tbl>
      <w:tblPr>
        <w:tblW w:type="auto" w:w="0"/>
        <w:jc w:val="center"/>
        <w:tblLook w:firstColumn="1" w:firstRow="1" w:lastColumn="0" w:lastRow="0" w:noHBand="0" w:noVBand="1" w:val="04A0"/>
      </w:tblPr>
      <w:tblGrid>
        <w:gridCol w:w="9792"/>
      </w:tblGrid>
      <w:tr>
        <w:tc>
          <w:tcPr>
            <w:tcW w:type="dxa" w:w="9792"/>
            <w:shd w:fill="EEF5FF"/>
            <w:tcMar>
              <w:top w:w="120" w:type="dxa"/>
              <w:start w:w="150" w:type="dxa"/>
              <w:bottom w:w="120" w:type="dxa"/>
              <w:end w:w="150" w:type="dxa"/>
            </w:tcMar>
          </w:tcPr>
          <w:p>
            <w:r>
              <w:rPr>
                <w:b/>
                <w:color w:val="1F4E79"/>
              </w:rPr>
              <w:t xml:space="preserve">Idea clave: </w:t>
            </w:r>
            <w:r>
              <w:t>estructura válida no significa respuesta verdadera. Una gramática puede garantizar JSON válido y categorías permitidas; no garantiza que el razonamiento o diagnóstico del LLM sea correcto. Lo mismo vale para la versión blanda: un texto guiado por un experto no garantiza un diagnóstico correcto.</w:t>
            </w:r>
          </w:p>
        </w:tc>
      </w:tr>
    </w:tbl>
    <w:p>
      <w:pPr>
        <w:spacing w:after="0"/>
      </w:pPr>
    </w:p>
    <w:p>
      <w:pPr>
        <w:pStyle w:val="Heading2"/>
      </w:pPr>
      <w:r>
        <w:rPr/>
        <w:t>De la máscara dura al sesgo blando</w:t>
      </w:r>
    </w:p>
    <w:p>
      <w:pPr/>
      <w:r>
        <w:rPr/>
        <w:t>La máscara de −∞ es una restricción dura: la regla se cumple siempre. Existe una versión blanda: en lugar de prohibir un token, se suma un sesgo finito bk a su logit. El token se favorece (bk &gt; 0) o se desfavorece (bk &lt; 0), pero el modelo conserva la última palabra:</w:t>
      </w:r>
    </w:p>
    <w:p>
      <w:pPr>
        <w:jc w:val="center"/>
      </w:pPr>
      <w:r>
        <w:rPr>
          <w:rFonts w:ascii="Cambria Math" w:hAnsi="Cambria Math"/>
          <w:i/>
          <w:sz w:val="24"/>
        </w:rPr>
        <w:t>z′k = zk + bk      ⇒      P′(k) / P′(j) = e^bk · P(k) / P(j)</w:t>
      </w:r>
    </w:p>
    <w:p>
      <w:pPr/>
      <w:r>
        <w:rPr/>
        <w:t xml:space="preserve">Un </w:t>
      </w:r>
      <w:r>
        <w:rPr>
          <w:b/>
        </w:rPr>
        <w:t>logit</w:t>
      </w:r>
      <w:r>
        <w:rPr/>
        <w:t xml:space="preserve"> es, en su origen, el logaritmo de las odds: logit(p) = ln(p / (1 − p)) (Berkson, 1944 [17]). En un Transformer, los logits son las puntuaciones que la última capa lineal entrega al softmax. Sumar c al logit de un token multiplica sus odds frente a cualquier otro token por e^c, por eso intervenir los logits equivale a reponderar odds. Dos aclaraciones para no confundirse: dentro de cada capa hay otro softmax, el de la atención, que reparte pesos entre tokens y no elige palabras (su máscara causal de −∞ es, de hecho, una restricción dura de arquitectura); y entre capas viajan vectores de estado oculto, no logits.</w:t>
      </w:r>
    </w:p>
    <w:p>
      <w:pPr>
        <w:pStyle w:val="Heading2"/>
      </w:pPr>
      <w:r>
        <w:rPr/>
        <w:t>Caso implementado: Clinical Contrastive Decoding (CCD)</w:t>
      </w:r>
    </w:p>
    <w:p>
      <w:pPr/>
      <w:r>
        <w:rPr/>
        <w:t xml:space="preserve">MAIRA-2 [15] es un Transformer multimodal de 7 000 millones de parámetros que redacta el informe de una radiografía de tórax. Tiende a escribir el informe “normal” típico y a </w:t>
      </w:r>
      <w:r>
        <w:rPr>
          <w:b/>
        </w:rPr>
        <w:t>omitir hallazgos</w:t>
      </w:r>
      <w:r>
        <w:rPr/>
        <w:t>. CCD [14] corrige esto en la inferencia, sin tocar sus pesos, con la ayuda de un experto externo: una CNN (DenseNet-121 entrenada en CheXpert, de torchxrayvision) que mira la misma radiografía y estima la probabilidad pc de cada hallazgo (p. ej., p(cardiomegalia) = 0,82). En cada palabra generada:</w:t>
      </w:r>
    </w:p>
    <w:p>
      <w:pPr>
        <w:pStyle w:val="ListBullet"/>
      </w:pPr>
      <w:r>
        <w:rPr>
          <w:b/>
        </w:rPr>
        <w:t xml:space="preserve">Guía clínica (α): </w:t>
      </w:r>
      <w:r>
        <w:rPr/>
        <w:t>el Transformer se corre dos veces, con la instrucción normal y con una nota que lista los hallazgos del experto, y se mezclan sus log-probabilidades.</w:t>
      </w:r>
    </w:p>
    <w:p>
      <w:pPr>
        <w:pStyle w:val="ListBullet"/>
      </w:pPr>
      <w:r>
        <w:rPr>
          <w:b/>
        </w:rPr>
        <w:t xml:space="preserve">Sesgo experto (β, γ): </w:t>
      </w:r>
      <w:r>
        <w:rPr/>
        <w:t>a los tokens del nombre de cada hallazgo se les suma el logit del experto, acotado por γ.</w:t>
      </w:r>
    </w:p>
    <w:p>
      <w:pPr>
        <w:pStyle w:val="ListBullet"/>
      </w:pPr>
      <w:r>
        <w:rPr>
          <w:b/>
        </w:rPr>
        <w:t xml:space="preserve">Decisión: </w:t>
      </w:r>
      <w:r>
        <w:rPr/>
        <w:t>softmax sobre los logits finales y selección greedy de la palabra.</w:t>
      </w:r>
    </w:p>
    <w:p>
      <w:pPr>
        <w:jc w:val="center"/>
      </w:pPr>
      <w:r>
        <w:rPr>
          <w:rFonts w:ascii="Cambria Math" w:hAnsi="Cambria Math"/>
          <w:i/>
          <w:sz w:val="24"/>
        </w:rPr>
        <w:t>ℓguía = (1 − α) · ℓorig + α · ℓclín</w:t>
      </w:r>
    </w:p>
    <w:p>
      <w:pPr>
        <w:jc w:val="center"/>
      </w:pPr>
      <w:r>
        <w:rPr>
          <w:rFonts w:ascii="Cambria Math" w:hAnsi="Cambria Math"/>
          <w:i/>
          <w:sz w:val="24"/>
        </w:rPr>
        <w:t>bc = clip( ln( pc / (1 − pc) ),  −ln γ,  +ln γ )</w:t>
      </w:r>
    </w:p>
    <w:p>
      <w:pPr>
        <w:jc w:val="center"/>
      </w:pPr>
      <w:r>
        <w:rPr>
          <w:rFonts w:ascii="Cambria Math" w:hAnsi="Cambria Math"/>
          <w:i/>
          <w:sz w:val="24"/>
        </w:rPr>
        <w:t>ℓfinal = ℓguía + β · b</w:t>
      </w:r>
    </w:p>
    <w:p>
      <w:pPr>
        <w:jc w:val="center"/>
      </w:pPr>
      <w:r>
        <w:rPr>
          <w:rFonts w:ascii="Cambria Math" w:hAnsi="Cambria Math"/>
          <w:i/>
          <w:sz w:val="24"/>
        </w:rPr>
        <w:t>Pfinal(v) ∝ Porig(v)^(1−α) · Pclín(v)^α · ( pc / (1 − pc) )^β</w:t>
      </w:r>
    </w:p>
    <w:p>
      <w:pPr/>
      <w:r>
        <w:rPr/>
        <w:t xml:space="preserve">α, β y γ son </w:t>
      </w:r>
      <w:r>
        <w:rPr>
          <w:b/>
        </w:rPr>
        <w:t>hiperparámetros</w:t>
      </w:r>
      <w:r>
        <w:rPr/>
        <w:t>: α controla cuánto escucha el modelo la nota del experto; β, cuánto empuja el experto (cumple un papel análogo al λ de la penalización suave de la Persona 2); γ, hasta dónde se le permite empujar (con γ → ∞ y pc → 0 se recupera la máscara dura de −∞). Usamos los valores del artículo, α = β = 0,5 y γ = 10, sin ajustarlos sobre los datos de prueba. Con ellos, el sesgo directo del experto multiplica o divide las odds de un token como máximo por γ^β = √10 ≈ 3,16; la mezcla con α no tiene ese tope.</w:t>
      </w:r>
    </w:p>
    <w:p>
      <w:pPr/>
      <w:r>
        <w:rPr/>
        <w:t xml:space="preserve">¿Por qué no usar solo el experto? </w:t>
      </w:r>
      <w:r>
        <w:rPr>
          <w:b/>
        </w:rPr>
        <w:t>DenseNet clasifica; MAIRA-2 redacta.</w:t>
      </w:r>
      <w:r>
        <w:rPr/>
        <w:t xml:space="preserve"> El experto entrega 14 probabilidades; el informe necesita severidad (“mildly enlarged”), ubicación y hallazgos negativos. Además, el experto marca de más: en el caso estudiado señaló fractura (0,70), que el radiólogo no reportó y que el informe con CCD no escribió. La restricción blanda deja que el Transformer pondere la evidencia.</w:t>
      </w:r>
    </w:p>
    <w:p>
      <w:pPr>
        <w:pStyle w:val="Heading2"/>
      </w:pPr>
      <w:r>
        <w:rPr/>
        <w:t>Ejemplo numérico (ilustrativo)</w:t>
      </w:r>
    </w:p>
    <w:p>
      <w:pPr/>
      <w:r>
        <w:rPr/>
        <w:t>El modelo va a describir el corazón y duda entre dos palabras. Así cambia la probabilidad de la siguiente palabra en cada etapa (p(cardiomegalia) = 0,82 es el valor real que dio el experto en el estudio 148 del experimento):</w:t>
      </w:r>
    </w:p>
    <w:p>
      <w:pPr>
        <w:pStyle w:val="CodeBlock"/>
      </w:pPr>
      <w:r>
        <w:rPr>
          <w:rFonts w:ascii="Liberation Mono" w:hAnsi="Liberation Mono"/>
          <w:sz w:val="19"/>
        </w:rPr>
        <w:t>Etapa                            normal   cardiomegaly   otra</w:t>
        <w:br/>
        <w:t>1. Transformer original           50 %       30 %         20 %</w:t>
        <w:br/>
        <w:t>2. Con la nota del experto        30 %       55 %         15 %</w:t>
        <w:br/>
        <w:t>3. Mezcla (α = 0,5)               40 %       42 %         18 %</w:t>
        <w:br/>
        <w:t>4. × odds del experto (β = 0,5)   27 %       61 %         12 %</w:t>
      </w:r>
    </w:p>
    <w:p>
      <w:pPr/>
      <w:r>
        <w:rPr/>
        <w:t>La palabra elegida pasa a ser contexto de todas las siguientes (efecto bola de nieve): en el caso real, el informe original decía “Cardiac and mediastinal contours are normal” y el informe con CCD, “The cardiac silhouette is mildly enlarged”.</w:t>
      </w:r>
    </w:p>
    <w:p>
      <w:pPr>
        <w:pStyle w:val="Heading2"/>
      </w:pPr>
      <w:r>
        <w:rPr/>
        <w:t>Resultados del experimento</w:t>
      </w:r>
    </w:p>
    <w:p>
      <w:pPr/>
      <w:r>
        <w:rPr/>
        <w:t>Datos: IU X-Ray [18], 30 estudios con al menos uno de los 5 hallazgos principales según el radiólogo. Evaluación con CheXbert [16], que etiqueta 14 hallazgos en cada informe; métricas micro e IC 95 % por bootstrap pareado (2000 remuestreos). Código oficial de CCD, GPU A100.</w:t>
      </w:r>
    </w:p>
    <w:p>
      <w:pPr>
        <w:pStyle w:val="CodeBlock"/>
      </w:pPr>
      <w:r>
        <w:rPr>
          <w:rFonts w:ascii="Liberation Mono" w:hAnsi="Liberation Mono"/>
          <w:sz w:val="19"/>
        </w:rPr>
        <w:t>Métrica (micro)        5 hallazgos principales      14 hallazgos</w:t>
        <w:br/>
        <w:t>Precisión              1,000 → 0,625                0,031 → 0,161</w:t>
        <w:br/>
        <w:t>Recall                 0,030 → 0,152                0,019 → 0,094</w:t>
        <w:br/>
        <w:t>F1                     0,059 → 0,244                0,024 → 0,119</w:t>
        <w:br/>
        <w:t>AUC                    0,515 → 0,563                0,467 → 0,512</w:t>
        <w:br/>
        <w:t>P(mejora) bootstrap    37 % / 95 % / 95 % / 93 %     95–98 %</w:t>
      </w:r>
    </w:p>
    <w:p>
      <w:pPr/>
      <w:r>
        <w:rPr/>
        <w:t xml:space="preserve">Referencia del artículo (3307 estudios): CheXbert-F1 en 5 hallazgos de 4,02 a 19,96. </w:t>
      </w:r>
      <w:r>
        <w:rPr>
          <w:b/>
        </w:rPr>
        <w:t>Lectura honesta:</w:t>
      </w:r>
      <w:r>
        <w:rPr/>
        <w:t xml:space="preserve"> la ganancia se concentra en cardiomegalia (0/20 → 5/20 detectadas) y la atelectasia empeoró (1/10 → 0/10); por paciente, mejoró en 6, igual en 21 y empeoró en 3; el costo de inferencia pasa de ~1,4 s a ~11,5 s por informe; y el experto tiene un AUC modesto (0,61) en estos estudios. La precisión de 1,000 del original engaña: mencionó un solo hallazgo en 30 estudios.</w:t>
      </w:r>
    </w:p>
    <w:p>
      <w:pPr>
        <w:pStyle w:val="Heading2"/>
      </w:pPr>
      <w:r>
        <w:rPr/>
        <w:t>Cuándo una restricción no ayuda</w:t>
      </w:r>
    </w:p>
    <w:p>
      <w:pPr/>
      <w:r>
        <w:rPr/>
        <w:t>Antes de CCD probamos restricciones post-entrenamiento sobre BiomedCLIP en PatchCamelyon: promediar sobre las 8 rotaciones/reflexiones (D4) solo sube el AUC de 0,825 a 0,832, aunque elimina el 30,6 % de diagnósticos que cambiaban al girar el parche; normalizar la tinción lo baja a 0,738. El modelo ya era casi invariante al giro, y el color sí era información útil. Una restricción ayuda en la medida en que el modelo viola la regla que impone.</w:t>
      </w:r>
    </w:p>
    <w:tbl>
      <w:tblPr>
        <w:tblW w:type="auto" w:w="0"/>
        <w:jc w:val="center"/>
        <w:tblLook w:firstColumn="1" w:firstRow="1" w:lastColumn="0" w:lastRow="0" w:noHBand="0" w:noVBand="1" w:val="04A0"/>
      </w:tblPr>
      <w:tblGrid>
        <w:gridCol w:w="9792"/>
      </w:tblGrid>
      <w:tr>
        <w:tc>
          <w:tcPr>
            <w:tcW w:type="dxa" w:w="9792"/>
            <w:shd w:fill="EEF5FF"/>
            <w:tcMar>
              <w:top w:w="120" w:type="dxa"/>
              <w:start w:w="150" w:type="dxa"/>
              <w:bottom w:w="120" w:type="dxa"/>
              <w:end w:w="150" w:type="dxa"/>
            </w:tcMar>
          </w:tcPr>
          <w:p>
            <w:r>
              <w:rPr>
                <w:b/>
                <w:color w:val="1F4E79"/>
              </w:rPr>
              <w:t xml:space="preserve">Pregunta para el público: </w:t>
            </w:r>
            <w:r>
              <w:t>“Si el experto ya ve la cardiomegalia, ¿para qué el Transformer?”. Respuesta: el experto clasifica y el Transformer redacta; CCD combina ambos sin reentrenar ninguno. Segunda pregunta: “¿un informe guiado por un experto es un diagnóstico correcto?”. No: la restricción vale lo que vale el conocimiento que la alimenta.</w:t>
            </w:r>
          </w:p>
        </w:tc>
      </w:tr>
    </w:tbl>
    <w:p>
      <w:pPr>
        <w:spacing w:after="0"/>
      </w:pPr>
    </w:p>
    <w:p>
      <w:pPr>
        <w:pStyle w:val="Heading1"/>
      </w:pPr>
      <w:r>
        <w:t>Qué estudiar vs. qué mostrar</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b/>
              </w:rPr>
              <w:t>Persona</w:t>
            </w:r>
          </w:p>
        </w:tc>
        <w:tc>
          <w:tcPr>
            <w:tcW w:type="dxa" w:w="3264"/>
            <w:shd w:fill="D9EAF7"/>
          </w:tcPr>
          <w:p>
            <w:r>
              <w:rPr>
                <w:b/>
              </w:rPr>
              <w:t>Estudiar en esta guía</w:t>
            </w:r>
          </w:p>
        </w:tc>
        <w:tc>
          <w:tcPr>
            <w:tcW w:type="dxa" w:w="3264"/>
            <w:shd w:fill="D9EAF7"/>
          </w:tcPr>
          <w:p>
            <w:r>
              <w:rPr>
                <w:b/>
              </w:rPr>
              <w:t>Mostrar en la exposición</w:t>
            </w:r>
          </w:p>
        </w:tc>
      </w:tr>
      <w:tr>
        <w:tc>
          <w:tcPr>
            <w:tcW w:type="dxa" w:w="3264"/>
            <w:tcMar>
              <w:top w:w="70" w:type="dxa"/>
              <w:start w:w="90" w:type="dxa"/>
              <w:bottom w:w="70" w:type="dxa"/>
              <w:end w:w="90" w:type="dxa"/>
            </w:tcMar>
          </w:tcPr>
          <w:p>
            <w:r>
              <w:t>1</w:t>
            </w:r>
          </w:p>
        </w:tc>
        <w:tc>
          <w:tcPr>
            <w:tcW w:type="dxa" w:w="3264"/>
            <w:tcMar>
              <w:top w:w="70" w:type="dxa"/>
              <w:start w:w="90" w:type="dxa"/>
              <w:bottom w:w="70" w:type="dxa"/>
              <w:end w:w="90" w:type="dxa"/>
            </w:tcMar>
          </w:tcPr>
          <w:p>
            <w:r>
              <w:t>Optimización restringida, hard/soft, regularización</w:t>
            </w:r>
          </w:p>
        </w:tc>
        <w:tc>
          <w:tcPr>
            <w:tcW w:type="dxa" w:w="3264"/>
            <w:tcMar>
              <w:top w:w="70" w:type="dxa"/>
              <w:start w:w="90" w:type="dxa"/>
              <w:bottom w:w="70" w:type="dxa"/>
              <w:end w:w="90" w:type="dxa"/>
            </w:tcMar>
          </w:tcPr>
          <w:p>
            <w:r>
              <w:t>Una gráfica absurda vs. coherente + definición</w:t>
            </w:r>
          </w:p>
        </w:tc>
      </w:tr>
      <w:tr>
        <w:tc>
          <w:tcPr>
            <w:tcW w:type="dxa" w:w="3264"/>
            <w:tcMar>
              <w:top w:w="70" w:type="dxa"/>
              <w:start w:w="90" w:type="dxa"/>
              <w:bottom w:w="70" w:type="dxa"/>
              <w:end w:w="90" w:type="dxa"/>
            </w:tcMar>
          </w:tcPr>
          <w:p>
            <w:r>
              <w:t>2</w:t>
            </w:r>
          </w:p>
        </w:tc>
        <w:tc>
          <w:tcPr>
            <w:tcW w:type="dxa" w:w="3264"/>
            <w:tcMar>
              <w:top w:w="70" w:type="dxa"/>
              <w:start w:w="90" w:type="dxa"/>
              <w:bottom w:w="70" w:type="dxa"/>
              <w:end w:w="90" w:type="dxa"/>
            </w:tcMar>
          </w:tcPr>
          <w:p>
            <w:r>
              <w:t>Penalizaciones, Lagrangiano, puntos de incorporación</w:t>
            </w:r>
          </w:p>
        </w:tc>
        <w:tc>
          <w:tcPr>
            <w:tcW w:type="dxa" w:w="3264"/>
            <w:tcMar>
              <w:top w:w="70" w:type="dxa"/>
              <w:start w:w="90" w:type="dxa"/>
              <w:bottom w:w="70" w:type="dxa"/>
              <w:end w:w="90" w:type="dxa"/>
            </w:tcMar>
          </w:tcPr>
          <w:p>
            <w:r>
              <w:t>Región factible + dos ecuaciones</w:t>
            </w:r>
          </w:p>
        </w:tc>
      </w:tr>
      <w:tr>
        <w:tc>
          <w:tcPr>
            <w:tcW w:type="dxa" w:w="3264"/>
            <w:tcMar>
              <w:top w:w="70" w:type="dxa"/>
              <w:start w:w="90" w:type="dxa"/>
              <w:bottom w:w="70" w:type="dxa"/>
              <w:end w:w="90" w:type="dxa"/>
            </w:tcMar>
          </w:tcPr>
          <w:p>
            <w:r>
              <w:t>3</w:t>
            </w:r>
          </w:p>
        </w:tc>
        <w:tc>
          <w:tcPr>
            <w:tcW w:type="dxa" w:w="3264"/>
            <w:tcMar>
              <w:top w:w="70" w:type="dxa"/>
              <w:start w:w="90" w:type="dxa"/>
              <w:bottom w:w="70" w:type="dxa"/>
              <w:end w:w="90" w:type="dxa"/>
            </w:tcMar>
          </w:tcPr>
          <w:p>
            <w:r>
              <w:t>Monotonía, XGBoost, redes restringidas, PINNs</w:t>
            </w:r>
          </w:p>
        </w:tc>
        <w:tc>
          <w:tcPr>
            <w:tcW w:type="dxa" w:w="3264"/>
            <w:tcMar>
              <w:top w:w="70" w:type="dxa"/>
              <w:start w:w="90" w:type="dxa"/>
              <w:bottom w:w="70" w:type="dxa"/>
              <w:end w:w="90" w:type="dxa"/>
            </w:tcMar>
          </w:tcPr>
          <w:p>
            <w:r>
              <w:t>Gráfica XGBoost + 5 líneas de código + esquema PINN</w:t>
            </w:r>
          </w:p>
        </w:tc>
      </w:tr>
      <w:tr>
        <w:tc>
          <w:tcPr>
            <w:tcW w:type="dxa" w:w="3264"/>
            <w:tcMar>
              <w:top w:w="70" w:type="dxa"/>
              <w:start w:w="90" w:type="dxa"/>
              <w:bottom w:w="70" w:type="dxa"/>
              <w:end w:w="90" w:type="dxa"/>
            </w:tcMar>
          </w:tcPr>
          <w:p>
            <w:r>
              <w:t>4</w:t>
            </w:r>
          </w:p>
        </w:tc>
        <w:tc>
          <w:tcPr>
            <w:tcW w:type="dxa" w:w="3264"/>
            <w:tcMar>
              <w:top w:w="70" w:type="dxa"/>
              <w:start w:w="90" w:type="dxa"/>
              <w:bottom w:w="70" w:type="dxa"/>
              <w:end w:w="90" w:type="dxa"/>
            </w:tcMar>
          </w:tcPr>
          <w:p>
            <w:r>
              <w:t>Generación autorregresiva, logits, máscara dura vs. sesgo blando, CCD (α, β, γ)</w:t>
            </w:r>
          </w:p>
        </w:tc>
        <w:tc>
          <w:tcPr>
            <w:tcW w:type="dxa" w:w="3264"/>
            <w:tcMar>
              <w:top w:w="70" w:type="dxa"/>
              <w:start w:w="90" w:type="dxa"/>
              <w:bottom w:w="70" w:type="dxa"/>
              <w:end w:w="90" w:type="dxa"/>
            </w:tcMar>
          </w:tcPr>
          <w:p>
            <w:r>
              <w:t>Caso real de radiografía + métricas antes/después</w:t>
            </w:r>
          </w:p>
        </w:tc>
      </w:tr>
      <w:tr>
        <w:tc>
          <w:tcPr>
            <w:tcW w:type="dxa" w:w="3264"/>
            <w:tcMar>
              <w:top w:w="70" w:type="dxa"/>
              <w:start w:w="90" w:type="dxa"/>
              <w:bottom w:w="70" w:type="dxa"/>
              <w:end w:w="90" w:type="dxa"/>
            </w:tcMar>
          </w:tcPr>
          <w:p>
            <w:r>
              <w:t>Cierre</w:t>
            </w:r>
          </w:p>
        </w:tc>
        <w:tc>
          <w:tcPr>
            <w:tcW w:type="dxa" w:w="3264"/>
            <w:tcMar>
              <w:top w:w="70" w:type="dxa"/>
              <w:start w:w="90" w:type="dxa"/>
              <w:bottom w:w="70" w:type="dxa"/>
              <w:end w:w="90" w:type="dxa"/>
            </w:tcMar>
          </w:tcPr>
          <w:p>
            <w:r>
              <w:t>Trade-offs y alcance de las garantías</w:t>
            </w:r>
          </w:p>
        </w:tc>
        <w:tc>
          <w:tcPr>
            <w:tcW w:type="dxa" w:w="3264"/>
            <w:tcMar>
              <w:top w:w="70" w:type="dxa"/>
              <w:start w:w="90" w:type="dxa"/>
              <w:bottom w:w="70" w:type="dxa"/>
              <w:end w:w="90" w:type="dxa"/>
            </w:tcMar>
          </w:tcPr>
          <w:p>
            <w:r>
              <w:t>“Precisión ≠ validez”, “estructura válida ≠ verdad” y “texto guiado ≠ diagnóstico correcto”</w:t>
            </w:r>
          </w:p>
        </w:tc>
      </w:tr>
    </w:tbl>
    <w:p>
      <w:pPr>
        <w:pStyle w:val="Heading1"/>
      </w:pPr>
      <w:r>
        <w:t>Mensaje final de la exposición</w:t>
      </w:r>
    </w:p>
    <w:p>
      <w:pPr>
        <w:spacing w:before="100" w:after="160"/>
        <w:jc w:val="center"/>
      </w:pPr>
      <w:r>
        <w:rPr>
          <w:rFonts w:ascii="Cambria Math" w:hAnsi="Cambria Math"/>
          <w:i/>
          <w:sz w:val="24"/>
        </w:rPr>
        <w:t>Aprender de los datos + incorporar conocimiento previo = reducir el espacio de soluciones admisibles</w:t>
      </w:r>
    </w:p>
    <w:p>
      <w:r>
        <w:t>La idea común a todas las personas es la misma: una restricción modifica qué soluciones se consideran aceptables. Lo que cambia es dónde y cómo se impone: penalización, conjunto factible, arquitectura, física, inferencia o gramática de salida.</w:t>
      </w:r>
    </w:p>
    <w:p>
      <w:pPr>
        <w:pStyle w:val="Heading1"/>
      </w:pPr>
      <w:r>
        <w:t>Bibliografía académica y técnica recomendada</w:t>
      </w:r>
    </w:p>
    <w:p>
      <w:pPr>
        <w:ind w:left="216" w:hanging="216"/>
      </w:pPr>
      <w:r>
        <w:t xml:space="preserve">[1] Boyd, S., &amp; Vandenberghe, L. (2004). Convex Optimization. Cambridge University Press. </w:t>
      </w:r>
      <w:hyperlink r:id="rId11">
        <w:r>
          <w:rPr>
            <w:color w:val="0563C1"/>
            <w:u w:val="single"/>
          </w:rPr>
          <w:t>Enlace</w:t>
        </w:r>
      </w:hyperlink>
    </w:p>
    <w:p>
      <w:pPr>
        <w:ind w:left="216" w:hanging="216"/>
      </w:pPr>
      <w:r>
        <w:t xml:space="preserve">[2] Goodfellow, I., Bengio, Y., &amp; Courville, A. (2016). Deep Learning. MIT Press. Cap. 7: Regularization for Deep Learning. </w:t>
      </w:r>
      <w:hyperlink r:id="rId12">
        <w:r>
          <w:rPr>
            <w:color w:val="0563C1"/>
            <w:u w:val="single"/>
          </w:rPr>
          <w:t>Enlace</w:t>
        </w:r>
      </w:hyperlink>
    </w:p>
    <w:p>
      <w:pPr>
        <w:ind w:left="216" w:hanging="216"/>
      </w:pPr>
      <w:r>
        <w:t xml:space="preserve">[3] Hastie, T., Tibshirani, R., &amp; Friedman, J. (2009). The Elements of Statistical Learning (2nd ed.). Springer. </w:t>
      </w:r>
      <w:hyperlink r:id="rId13">
        <w:r>
          <w:rPr>
            <w:color w:val="0563C1"/>
            <w:u w:val="single"/>
          </w:rPr>
          <w:t>Enlace</w:t>
        </w:r>
      </w:hyperlink>
    </w:p>
    <w:p>
      <w:pPr>
        <w:ind w:left="216" w:hanging="216"/>
      </w:pPr>
      <w:r>
        <w:t xml:space="preserve">[4] XGBoost documentation. Monotonic Constraints. </w:t>
      </w:r>
      <w:hyperlink r:id="rId14">
        <w:r>
          <w:rPr>
            <w:color w:val="0563C1"/>
            <w:u w:val="single"/>
          </w:rPr>
          <w:t>Enlace</w:t>
        </w:r>
      </w:hyperlink>
    </w:p>
    <w:p>
      <w:pPr>
        <w:ind w:left="216" w:hanging="216"/>
      </w:pPr>
      <w:r>
        <w:t xml:space="preserve">[5] LightGBM documentation. Parameters: monotone_constraints. </w:t>
      </w:r>
      <w:hyperlink r:id="rId15">
        <w:r>
          <w:rPr>
            <w:color w:val="0563C1"/>
            <w:u w:val="single"/>
          </w:rPr>
          <w:t>Enlace</w:t>
        </w:r>
      </w:hyperlink>
    </w:p>
    <w:p>
      <w:pPr>
        <w:ind w:left="216" w:hanging="216"/>
      </w:pPr>
      <w:r>
        <w:t xml:space="preserve">[6] You, S., Ding, D., Canini, K., Pfeifer, J., &amp; Gupta, M. R. (2017). Deep Lattice Networks and Partial Monotonic Functions. Advances in Neural Information Processing Systems 30 (NIPS 2017). </w:t>
      </w:r>
      <w:hyperlink r:id="rId16">
        <w:r>
          <w:rPr>
            <w:color w:val="0563C1"/>
            <w:u w:val="single"/>
          </w:rPr>
          <w:t>Enlace</w:t>
        </w:r>
      </w:hyperlink>
    </w:p>
    <w:p>
      <w:pPr>
        <w:ind w:left="216" w:hanging="216"/>
      </w:pPr>
      <w:r>
        <w:t xml:space="preserve">[7] Raissi, M., Perdikaris, P., &amp; Karniadakis, G. E. (2019). Physics-informed neural networks: A deep learning framework for solving forward and inverse problems involving nonlinear partial differential equations. Journal of Computational Physics, 378, 686–707. </w:t>
      </w:r>
      <w:hyperlink r:id="rId17">
        <w:r>
          <w:rPr>
            <w:color w:val="0563C1"/>
            <w:u w:val="single"/>
          </w:rPr>
          <w:t>Enlace</w:t>
        </w:r>
      </w:hyperlink>
    </w:p>
    <w:p>
      <w:pPr>
        <w:ind w:left="216" w:hanging="216"/>
      </w:pPr>
      <w:r>
        <w:t xml:space="preserve">[8] Jurafsky, D., &amp; Martin, J. H. (s. f.). Speech and Language Processing (3rd ed., borrador en línea). Stanford University. Consultado en 2026. </w:t>
      </w:r>
      <w:hyperlink r:id="rId18">
        <w:r>
          <w:rPr>
            <w:color w:val="0563C1"/>
            <w:u w:val="single"/>
          </w:rPr>
          <w:t>Enlace</w:t>
        </w:r>
      </w:hyperlink>
    </w:p>
    <w:p>
      <w:pPr>
        <w:ind w:left="216" w:hanging="216"/>
      </w:pPr>
      <w:r>
        <w:t xml:space="preserve">[9] Hokamp, C., &amp; Liu, Q. (2017). Lexically Constrained Decoding for Sequence Generation Using Grid Beam Search. ACL 2017, pp. 1535–1546. </w:t>
      </w:r>
      <w:hyperlink r:id="rId19">
        <w:r>
          <w:rPr>
            <w:color w:val="0563C1"/>
            <w:u w:val="single"/>
          </w:rPr>
          <w:t>Enlace</w:t>
        </w:r>
      </w:hyperlink>
    </w:p>
    <w:p>
      <w:pPr>
        <w:ind w:left="216" w:hanging="216"/>
      </w:pPr>
      <w:r>
        <w:t xml:space="preserve">[10] Geng, S., Josifoski, M., Peyrard, M., &amp; West, R. (2023). Grammar-Constrained Decoding for Structured NLP Tasks without Finetuning. EMNLP. </w:t>
      </w:r>
      <w:hyperlink r:id="rId20">
        <w:r>
          <w:rPr>
            <w:color w:val="0563C1"/>
            <w:u w:val="single"/>
          </w:rPr>
          <w:t>Enlace</w:t>
        </w:r>
      </w:hyperlink>
    </w:p>
    <w:p>
      <w:pPr>
        <w:ind w:left="216" w:hanging="216"/>
      </w:pPr>
      <w:r>
        <w:t xml:space="preserve">[11] Scholak, T., Schucher, N., &amp; Bahdanau, D. (2021). PICARD: Parsing Incrementally for Constrained Auto-Regressive Decoding from Language Models. EMNLP 2021, pp. 9895–9901. </w:t>
      </w:r>
      <w:hyperlink r:id="rId21">
        <w:r>
          <w:rPr>
            <w:color w:val="0563C1"/>
            <w:u w:val="single"/>
          </w:rPr>
          <w:t>Enlace</w:t>
        </w:r>
      </w:hyperlink>
    </w:p>
    <w:p>
      <w:pPr>
        <w:ind w:left="216" w:hanging="216"/>
      </w:pPr>
      <w:r>
        <w:t xml:space="preserve">[12] Lagaris, I. E., Likas, A., &amp; Fotiadis, D. I. (1998). Artificial neural networks for solving ordinary and partial differential equations. IEEE Transactions on Neural Networks, 9(5), 987–1000. </w:t>
      </w:r>
      <w:hyperlink r:id="rId90">
        <w:r>
          <w:rPr>
            <w:color w:val="0563C1"/>
            <w:u w:val="single"/>
          </w:rPr>
          <w:t>Enlace</w:t>
        </w:r>
      </w:hyperlink>
    </w:p>
    <w:p>
      <w:pPr>
        <w:ind w:left="216" w:hanging="216"/>
      </w:pPr>
      <w:r>
        <w:t xml:space="preserve">[13] Park, K., Wang, J., Berg-Kirkpatrick, T., Polikarpova, N., &amp; D’Antoni, L. (2024). Grammar-Aligned Decoding. Advances in Neural Information Processing Systems 37 (NeurIPS 2024). </w:t>
      </w:r>
      <w:hyperlink r:id="rId91">
        <w:r>
          <w:rPr>
            <w:color w:val="0563C1"/>
            <w:u w:val="single"/>
          </w:rPr>
          <w:t>Enlace</w:t>
        </w:r>
      </w:hyperlink>
    </w:p>
    <w:p>
      <w:pPr>
        <w:ind w:left="216" w:hanging="216"/>
      </w:pPr>
      <w:r>
        <w:t xml:space="preserve">[14] Zhang, X., Meng, Z., Lever, J., &amp; Ho, E. S. L. (2026). CCD: Mitigating Hallucinations in Radiology MLLMs via Clinical Contrastive Decoding. ACL 2026. </w:t>
      </w:r>
      <w:hyperlink r:id="rId22">
        <w:r>
          <w:rPr>
            <w:color w:val="0563C1"/>
            <w:u w:val="single"/>
          </w:rPr>
          <w:t>Enlace</w:t>
        </w:r>
      </w:hyperlink>
    </w:p>
    <w:p>
      <w:pPr>
        <w:ind w:left="216" w:hanging="216"/>
      </w:pPr>
      <w:r>
        <w:t xml:space="preserve">[15] Bannur, S., et al. (2024). MAIRA-2: Grounded Radiology Report Generation. Microsoft Research. </w:t>
      </w:r>
      <w:hyperlink r:id="rId23">
        <w:r>
          <w:rPr>
            <w:color w:val="0563C1"/>
            <w:u w:val="single"/>
          </w:rPr>
          <w:t>Enlace</w:t>
        </w:r>
      </w:hyperlink>
    </w:p>
    <w:p>
      <w:pPr>
        <w:ind w:left="216" w:hanging="216"/>
      </w:pPr>
      <w:r>
        <w:t xml:space="preserve">[16] Smit, A., Jain, S., Rajpurkar, P., Pareek, A., Ng, A. Y., &amp; Lungren, M. P. (2020). CheXbert: Combining Automatic Labelers and Expert Annotations for Accurate Radiology Report Labeling Using BERT. EMNLP 2020. </w:t>
      </w:r>
      <w:hyperlink r:id="rId24">
        <w:r>
          <w:rPr>
            <w:color w:val="0563C1"/>
            <w:u w:val="single"/>
          </w:rPr>
          <w:t>Enlace</w:t>
        </w:r>
      </w:hyperlink>
    </w:p>
    <w:p>
      <w:pPr>
        <w:ind w:left="216" w:hanging="216"/>
      </w:pPr>
      <w:r>
        <w:t xml:space="preserve">[17] Berkson, J. (1944). Application of the Logistic Function to Bio-Assay. Journal of the American Statistical Association, 39(227), 357–365. </w:t>
      </w:r>
      <w:hyperlink r:id="rId25">
        <w:r>
          <w:rPr>
            <w:color w:val="0563C1"/>
            <w:u w:val="single"/>
          </w:rPr>
          <w:t>Enlace</w:t>
        </w:r>
      </w:hyperlink>
    </w:p>
    <w:p>
      <w:pPr>
        <w:ind w:left="216" w:hanging="216"/>
      </w:pPr>
      <w:r>
        <w:t xml:space="preserve">[18] Demner-Fushman, D., et al. (2016). Preparing a collection of radiology examinations for distribution and retrieval. JAMIA, 23(2), 304–310. </w:t>
      </w:r>
      <w:hyperlink r:id="rId26">
        <w:r>
          <w:rPr>
            <w:color w:val="0563C1"/>
            <w:u w:val="single"/>
          </w:rPr>
          <w:t>Enlace</w:t>
        </w:r>
      </w:hyperlink>
    </w:p>
    <w:tbl>
      <w:tblPr>
        <w:tblW w:type="auto" w:w="0"/>
        <w:jc w:val="center"/>
        <w:tblLook w:firstColumn="1" w:firstRow="1" w:lastColumn="0" w:lastRow="0" w:noHBand="0" w:noVBand="1" w:val="04A0"/>
      </w:tblPr>
      <w:tblGrid>
        <w:gridCol w:w="9792"/>
      </w:tblGrid>
      <w:tr>
        <w:tc>
          <w:tcPr>
            <w:tcW w:type="dxa" w:w="9792"/>
            <w:shd w:fill="EEF5FF"/>
            <w:tcMar>
              <w:top w:w="120" w:type="dxa"/>
              <w:start w:w="150" w:type="dxa"/>
              <w:bottom w:w="120" w:type="dxa"/>
              <w:end w:w="150" w:type="dxa"/>
            </w:tcMar>
          </w:tcPr>
          <w:p>
            <w:r>
              <w:rPr>
                <w:b/>
                <w:color w:val="1F4E79"/>
              </w:rPr>
              <w:t xml:space="preserve">Nota de alcance: </w:t>
            </w:r>
            <w:r>
              <w:t>las restricciones monotónicas, físicas o de negocio solo son correctas si están justificadas por el dominio. Imponer una regla equivocada puede degradar un modelo. En Transformers, constrained decoding puede garantizar forma o sintaxis, pero no garantiza veracidad, causalidad ni calidad semántica. Una restricción blanda como CCD mejora el recall clínico, pero hereda los errores del experto que la guía.</w:t>
            </w:r>
          </w:p>
        </w:tc>
      </w:tr>
    </w:tbl>
    <w:p>
      <w:pPr>
        <w:spacing w:after="0"/>
      </w:pP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Incorporación de restricciones en modelos de aprendizaje automático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Aprendizaje Automático · Guía de estudio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F6D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59" w:right="259"/>
    </w:pPr>
    <w:rPr>
      <w:rFonts w:ascii="Liberation Mono" w:hAnsi="Liberation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anford.edu/~boyd/cvxbook/" TargetMode="External"/><Relationship Id="rId12" Type="http://schemas.openxmlformats.org/officeDocument/2006/relationships/hyperlink" Target="https://www.deeplearningbook.org/contents/regularization.html" TargetMode="External"/><Relationship Id="rId13" Type="http://schemas.openxmlformats.org/officeDocument/2006/relationships/hyperlink" Target="https://hastie.su.domains/ElemStatLearn/" TargetMode="External"/><Relationship Id="rId14" Type="http://schemas.openxmlformats.org/officeDocument/2006/relationships/hyperlink" Target="https://xgboost.readthedocs.io/en/stable/tutorials/monotonic.html" TargetMode="External"/><Relationship Id="rId15" Type="http://schemas.openxmlformats.org/officeDocument/2006/relationships/hyperlink" Target="https://lightgbm.readthedocs.io/en/latest/Parameters.html" TargetMode="External"/><Relationship Id="rId16" Type="http://schemas.openxmlformats.org/officeDocument/2006/relationships/hyperlink" Target="https://proceedings.neurips.cc/paper/2017/hash/464d828b85b0bed98e80ade0a5c43b0f-Abstract.html" TargetMode="External"/><Relationship Id="rId17" Type="http://schemas.openxmlformats.org/officeDocument/2006/relationships/hyperlink" Target="https://doi.org/10.1016/j.jcp.2018.10.045" TargetMode="External"/><Relationship Id="rId18" Type="http://schemas.openxmlformats.org/officeDocument/2006/relationships/hyperlink" Target="https://web.stanford.edu/~jurafsky/slp3/" TargetMode="External"/><Relationship Id="rId19" Type="http://schemas.openxmlformats.org/officeDocument/2006/relationships/hyperlink" Target="https://aclanthology.org/P17-1141/" TargetMode="External"/><Relationship Id="rId20" Type="http://schemas.openxmlformats.org/officeDocument/2006/relationships/hyperlink" Target="https://aclanthology.org/2023.emnlp-main.674/" TargetMode="External"/><Relationship Id="rId21" Type="http://schemas.openxmlformats.org/officeDocument/2006/relationships/hyperlink" Target="https://aclanthology.org/2021.emnlp-main.779/" TargetMode="External"/><Relationship Id="rId90" Type="http://schemas.openxmlformats.org/officeDocument/2006/relationships/hyperlink" Target="https://doi.org/10.1109/72.712178" TargetMode="External"/><Relationship Id="rId91" Type="http://schemas.openxmlformats.org/officeDocument/2006/relationships/hyperlink" Target="https://proceedings.neurips.cc/paper_files/paper/2024/hash/2bdc2267c3d7d01523e2e17ac0a754f3-Abstract.html" TargetMode="External"/><Relationship Id="rId22" Type="http://schemas.openxmlformats.org/officeDocument/2006/relationships/hyperlink" Target="https://arxiv.org/abs/2509.23379" TargetMode="External"/><Relationship Id="rId23" Type="http://schemas.openxmlformats.org/officeDocument/2006/relationships/hyperlink" Target="https://arxiv.org/abs/2406.04449" TargetMode="External"/><Relationship Id="rId24" Type="http://schemas.openxmlformats.org/officeDocument/2006/relationships/hyperlink" Target="https://aclanthology.org/2020.emnlp-main.117/" TargetMode="External"/><Relationship Id="rId25" Type="http://schemas.openxmlformats.org/officeDocument/2006/relationships/hyperlink" Target="https://doi.org/10.1080/01621459.1944.10500699" TargetMode="External"/><Relationship Id="rId26" Type="http://schemas.openxmlformats.org/officeDocument/2006/relationships/hyperlink" Target="https://doi.org/10.1093/jamia/ocv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