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Week 3 Homework — Data Fetching and Cleaning from Public Repositories</w:t>
      </w:r>
    </w:p>
    <w:p>
      <w:pPr>
        <w:spacing w:after="200"/>
      </w:pPr>
      <w:r>
        <w:rPr>
          <w:i/>
          <w:iCs/>
          <w:color w:val="555555"/>
          <w:sz w:val="19"/>
          <w:szCs w:val="19"/>
        </w:rPr>
        <w:t xml:space="preserve">Bioinformatics: From Multi-Omics Data to Discovery · Dataset: GSE87487 · Submitted by Zhouhanyi</w:t>
      </w:r>
    </w:p>
    <w:p>
      <w:pPr>
        <w:pStyle w:val="Heading2"/>
        <w:spacing w:after="120" w:before="240"/>
      </w:pPr>
      <w:r>
        <w:t xml:space="preserve">0. Verification note (read first)</w:t>
      </w:r>
    </w:p>
    <w:p>
      <w:pPr>
        <w:spacing w:after="120"/>
      </w:pPr>
      <w:r>
        <w:t xml:space="preserve">Every accession, file name, sample count and number in this submission was checked against the live GEO Series page, the GEO FTP supplementary file and PubMed on 13 September 2026. Nothing here is copied from the assignment sheet unverified.</w:t>
      </w:r>
    </w:p>
    <w:p>
      <w:pPr>
        <w:spacing w:after="80"/>
      </w:pPr>
      <w:r>
        <w:rPr>
          <w:b/>
          <w:bCs/>
        </w:rPr>
        <w:t xml:space="preserve">Two discrepancies found and resolved:</w:t>
      </w:r>
    </w:p>
    <w:p>
      <w:pPr>
        <w:spacing w:after="100"/>
      </w:pPr>
      <w:r>
        <w:t xml:space="preserve">(a) The assignment asks to "use the nature microbiology paper from last week." GSE87487 is not a microbiome study and its publication of record is JCI Insight, not Nature Microbiology (Sosa RA et al., JCI Insight 2016;1(20):e89679; PMID 27942590; doi:10.1172/jci.insight.89679). I have therefore built the Week 2 question around what GSE87487 can actually support — liver allograft ischemia/reperfusion injury — and flag the mismatch rather than inventing a microbiome link.</w:t>
      </w:r>
    </w:p>
    <w:p>
      <w:pPr>
        <w:spacing w:after="120"/>
      </w:pPr>
      <w:r>
        <w:t xml:space="preserve">(b) The assignment describes GSE87487 as "20 liver allograft biopsies, pre- and post-reperfusion, 3.7 MB supplementary count matrix, SRP090633." All four of these check out exactly. The linked BioProject is PRJNA344898.</w:t>
      </w:r>
    </w:p>
    <w:p>
      <w:pPr>
        <w:pStyle w:val="Heading2"/>
        <w:spacing w:after="120" w:before="240"/>
      </w:pPr>
      <w:r>
        <w:t xml:space="preserve">Part A — The five recording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4A1C75" w:val="clear"/>
            <w:tcMar>
              <w:top w:type="dxa" w:w="80"/>
              <w:left w:type="dxa" w:w="110"/>
              <w:bottom w:type="dxa" w:w="80"/>
              <w:right w:type="dxa" w:w="110"/>
            </w:tcMar>
          </w:tcPr>
          <w:p>
            <w:pPr>
              <w:spacing w:after="0"/>
            </w:pPr>
            <w:r>
              <w:rPr>
                <w:b/>
                <w:bCs/>
                <w:color w:val="FFFFFF"/>
                <w:sz w:val="19"/>
                <w:szCs w:val="19"/>
              </w:rPr>
              <w:t xml:space="preserve">Step</w:t>
            </w:r>
          </w:p>
        </w:tc>
        <w:tc>
          <w:tcPr>
            <w:tcW w:type="dxa" w:w="7460"/>
            <w:shd w:fill="4A1C75" w:val="clear"/>
            <w:tcMar>
              <w:top w:type="dxa" w:w="80"/>
              <w:left w:type="dxa" w:w="110"/>
              <w:bottom w:type="dxa" w:w="80"/>
              <w:right w:type="dxa" w:w="110"/>
            </w:tcMar>
          </w:tcPr>
          <w:p>
            <w:pPr>
              <w:spacing w:after="0"/>
            </w:pPr>
            <w:r>
              <w:rPr>
                <w:b/>
                <w:bCs/>
                <w:color w:val="FFFFFF"/>
                <w:sz w:val="19"/>
                <w:szCs w:val="19"/>
              </w:rPr>
              <w:t xml:space="preserve">Evidence recorded</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1. Week 2 data-driven question</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In human liver allograft biopsies profiled by bulk RNA-seq (GSE87487), do cytokine-receptor genes change from pre- to post-reperfusion, and does that change differ between IRI-positive and IRI-negative recipients, after accounting for the paired within-patient structure of the biopsies?</w:t>
            </w:r>
          </w:p>
          <w:p>
            <w:pPr>
              <w:spacing w:after="0"/>
            </w:pPr>
            <w:r>
              <w:rPr>
                <w:b w:val="false"/>
                <w:bCs w:val="false"/>
                <w:color w:val="000000"/>
                <w:sz w:val="19"/>
                <w:szCs w:val="19"/>
              </w:rPr>
              <w:t xml:space="preserve"/>
            </w:r>
          </w:p>
          <w:p>
            <w:pPr>
              <w:spacing w:after="0"/>
            </w:pPr>
            <w:r>
              <w:rPr>
                <w:b w:val="false"/>
                <w:bCs w:val="false"/>
                <w:color w:val="000000"/>
                <w:sz w:val="19"/>
                <w:szCs w:val="19"/>
              </w:rPr>
              <w:t xml:space="preserve">Population: adult orthotopic liver transplant donor allografts · Comparison: post- vs pre-reperfusion, and IRI+ vs IRI− · Outcome: gene-level expression of cytokine receptor genes · Data type: bulk RNA-seq raw integer counts.</w:t>
            </w:r>
          </w:p>
        </w:tc>
      </w:tr>
      <w:tr>
        <w:trPr>
          <w:tblHeader w:val="false"/>
        </w:trPr>
        <w:tc>
          <w:tcPr>
            <w:tcW w:type="dxa" w:w="1900"/>
            <w:shd w:fill="F4EFFA" w:val="clear"/>
            <w:tcMar>
              <w:top w:type="dxa" w:w="80"/>
              <w:left w:type="dxa" w:w="110"/>
              <w:bottom w:type="dxa" w:w="80"/>
              <w:right w:type="dxa" w:w="110"/>
            </w:tcMar>
          </w:tcPr>
          <w:p>
            <w:pPr>
              <w:spacing w:after="0"/>
            </w:pPr>
            <w:r>
              <w:rPr>
                <w:b w:val="false"/>
                <w:bCs w:val="false"/>
                <w:color w:val="000000"/>
                <w:sz w:val="19"/>
                <w:szCs w:val="19"/>
              </w:rPr>
              <w:t xml:space="preserve">2. Study identity</w:t>
            </w:r>
          </w:p>
        </w:tc>
        <w:tc>
          <w:tcPr>
            <w:tcW w:type="dxa" w:w="7460"/>
            <w:shd w:fill="F4EFFA" w:val="clear"/>
            <w:tcMar>
              <w:top w:type="dxa" w:w="80"/>
              <w:left w:type="dxa" w:w="110"/>
              <w:bottom w:type="dxa" w:w="80"/>
              <w:right w:type="dxa" w:w="110"/>
            </w:tcMar>
          </w:tcPr>
          <w:p>
            <w:pPr>
              <w:spacing w:after="0"/>
            </w:pPr>
            <w:r>
              <w:rPr>
                <w:b w:val="false"/>
                <w:bCs w:val="false"/>
                <w:color w:val="000000"/>
                <w:sz w:val="19"/>
                <w:szCs w:val="19"/>
              </w:rPr>
              <w:t xml:space="preserve">GSE: GSE87487 (public 08 Dec 2016; submitted 29 Sep 2016; last updated 15 May 2019)</w:t>
            </w:r>
          </w:p>
          <w:p>
            <w:pPr>
              <w:spacing w:after="0"/>
            </w:pPr>
            <w:r>
              <w:rPr>
                <w:b w:val="false"/>
                <w:bCs w:val="false"/>
                <w:color w:val="000000"/>
                <w:sz w:val="19"/>
                <w:szCs w:val="19"/>
              </w:rPr>
              <w:t xml:space="preserve">Title: "Genes encoding cognate receptors for IRI-related recipient cytokines are expressed in donor livers"</w:t>
            </w:r>
          </w:p>
          <w:p>
            <w:pPr>
              <w:spacing w:after="0"/>
            </w:pPr>
            <w:r>
              <w:rPr>
                <w:b w:val="false"/>
                <w:bCs w:val="false"/>
                <w:color w:val="000000"/>
                <w:sz w:val="19"/>
                <w:szCs w:val="19"/>
              </w:rPr>
              <w:t xml:space="preserve">Organism: Homo sapiens · Experiment type: Expression profiling by high throughput sequencing</w:t>
            </w:r>
          </w:p>
          <w:p>
            <w:pPr>
              <w:spacing w:after="0"/>
            </w:pPr>
            <w:r>
              <w:rPr>
                <w:b w:val="false"/>
                <w:bCs w:val="false"/>
                <w:color w:val="000000"/>
                <w:sz w:val="19"/>
                <w:szCs w:val="19"/>
              </w:rPr>
              <w:t xml:space="preserve">Submitters: Sosa RA, Reed EF (UCLA, Pathology &amp; Lab Medicine)</w:t>
            </w:r>
          </w:p>
          <w:p>
            <w:pPr>
              <w:spacing w:after="0"/>
            </w:pPr>
            <w:r>
              <w:rPr>
                <w:b w:val="false"/>
                <w:bCs w:val="false"/>
                <w:color w:val="000000"/>
                <w:sz w:val="19"/>
                <w:szCs w:val="19"/>
              </w:rPr>
              <w:t xml:space="preserve">Publication: Sosa RA, Zarrinpar A, Rossetti M, Lassman CR et al. "Early cytokine signatures of ischemia/reperfusion injury in human orthotopic liver transplantation." JCI Insight 2016;1(20):e89679. PMID 27942590 · doi:10.1172/jci.insight.89679</w:t>
            </w:r>
          </w:p>
          <w:p>
            <w:pPr>
              <w:spacing w:after="0"/>
            </w:pPr>
            <w:r>
              <w:rPr>
                <w:b w:val="false"/>
                <w:bCs w:val="false"/>
                <w:color w:val="000000"/>
                <w:sz w:val="19"/>
                <w:szCs w:val="19"/>
              </w:rPr>
              <w:t xml:space="preserve">Platform: GPL11154 — Illumina HiSeq 2000 (Homo sapiens)</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3. Accession mapping</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Samples: GSM2332515 – GSM2332534 (20 GSMs; full list in Part C)</w:t>
            </w:r>
          </w:p>
          <w:p>
            <w:pPr>
              <w:spacing w:after="0"/>
            </w:pPr>
            <w:r>
              <w:rPr>
                <w:b w:val="false"/>
                <w:bCs w:val="false"/>
                <w:color w:val="000000"/>
                <w:sz w:val="19"/>
                <w:szCs w:val="19"/>
              </w:rPr>
              <w:t xml:space="preserve">Example GSM: GSM2332515 (RJBx1) → BioSample SAMN05852473 → SRA run SRX2199841</w:t>
            </w:r>
          </w:p>
          <w:p>
            <w:pPr>
              <w:spacing w:after="0"/>
            </w:pPr>
            <w:r>
              <w:rPr>
                <w:b w:val="false"/>
                <w:bCs w:val="false"/>
                <w:color w:val="000000"/>
                <w:sz w:val="19"/>
                <w:szCs w:val="19"/>
              </w:rPr>
              <w:t xml:space="preserve">BioProject: PRJNA344898 · SRA study: SRP090633</w:t>
            </w:r>
          </w:p>
          <w:p>
            <w:pPr>
              <w:spacing w:after="0"/>
            </w:pPr>
            <w:r>
              <w:rPr>
                <w:b w:val="false"/>
                <w:bCs w:val="false"/>
                <w:color w:val="000000"/>
                <w:sz w:val="19"/>
                <w:szCs w:val="19"/>
              </w:rPr>
              <w:t xml:space="preserve">All 20 GSMs carry one BioSample and one SRX each.</w:t>
            </w:r>
          </w:p>
        </w:tc>
      </w:tr>
      <w:tr>
        <w:trPr>
          <w:tblHeader w:val="false"/>
        </w:trPr>
        <w:tc>
          <w:tcPr>
            <w:tcW w:type="dxa" w:w="1900"/>
            <w:shd w:fill="F4EFFA" w:val="clear"/>
            <w:tcMar>
              <w:top w:type="dxa" w:w="80"/>
              <w:left w:type="dxa" w:w="110"/>
              <w:bottom w:type="dxa" w:w="80"/>
              <w:right w:type="dxa" w:w="110"/>
            </w:tcMar>
          </w:tcPr>
          <w:p>
            <w:pPr>
              <w:spacing w:after="0"/>
            </w:pPr>
            <w:r>
              <w:rPr>
                <w:b w:val="false"/>
                <w:bCs w:val="false"/>
                <w:color w:val="000000"/>
                <w:sz w:val="19"/>
                <w:szCs w:val="19"/>
              </w:rPr>
              <w:t xml:space="preserve">4. Available data layers</w:t>
            </w:r>
          </w:p>
        </w:tc>
        <w:tc>
          <w:tcPr>
            <w:tcW w:type="dxa" w:w="7460"/>
            <w:shd w:fill="F4EFFA" w:val="clear"/>
            <w:tcMar>
              <w:top w:type="dxa" w:w="80"/>
              <w:left w:type="dxa" w:w="110"/>
              <w:bottom w:type="dxa" w:w="80"/>
              <w:right w:type="dxa" w:w="110"/>
            </w:tcMar>
          </w:tcPr>
          <w:p>
            <w:pPr>
              <w:spacing w:after="0"/>
            </w:pPr>
            <w:r>
              <w:rPr>
                <w:b w:val="false"/>
                <w:bCs w:val="false"/>
                <w:color w:val="000000"/>
                <w:sz w:val="19"/>
                <w:szCs w:val="19"/>
              </w:rPr>
              <w:t xml:space="preserve">Series Matrix (TXT), SOFT and MINiML family files — metadata only, no usable expression matrix for DE.</w:t>
            </w:r>
          </w:p>
          <w:p>
            <w:pPr>
              <w:spacing w:after="0"/>
            </w:pPr>
            <w:r>
              <w:rPr>
                <w:b w:val="false"/>
                <w:bCs w:val="false"/>
                <w:color w:val="000000"/>
                <w:sz w:val="19"/>
                <w:szCs w:val="19"/>
              </w:rPr>
              <w:t xml:space="preserve">Supplementary: GSE87487_counts.20samples.txt.gz — 3.7 MB, dated 2016-09-29. This is the analysis-ready layer.</w:t>
            </w:r>
          </w:p>
          <w:p>
            <w:pPr>
              <w:spacing w:after="0"/>
            </w:pPr>
            <w:r>
              <w:rPr>
                <w:b w:val="false"/>
                <w:bCs w:val="false"/>
                <w:color w:val="000000"/>
                <w:sz w:val="19"/>
                <w:szCs w:val="19"/>
              </w:rPr>
              <w:t xml:space="preserve">Raw reads: 20 SRX runs under SRP090633 / PRJNA344898.</w:t>
            </w:r>
          </w:p>
          <w:p>
            <w:pPr>
              <w:spacing w:after="0"/>
            </w:pPr>
            <w:r>
              <w:rPr>
                <w:b w:val="false"/>
                <w:bCs w:val="false"/>
                <w:color w:val="000000"/>
                <w:sz w:val="19"/>
                <w:szCs w:val="19"/>
              </w:rPr>
              <w:t xml:space="preserve">No single-cell files. Processing pipeline stated on the GEO page: Illumina CASAVA demultiplex → Cutadapt trim → STAR align to hg38 → featureCounts.</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5. Reconstructed design</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10 patients × 2 biopsies (pre- and post-reperfusion) = 20 samples — a paired, within-subject design.</w:t>
            </w:r>
          </w:p>
          <w:p>
            <w:pPr>
              <w:spacing w:after="0"/>
            </w:pPr>
            <w:r>
              <w:rPr>
                <w:b w:val="false"/>
                <w:bCs w:val="false"/>
                <w:color w:val="000000"/>
                <w:sz w:val="19"/>
                <w:szCs w:val="19"/>
              </w:rPr>
              <w:t xml:space="preserve">IRI-positive: 4 patients (RJ, Pt9, Pt10, Pt12) = 8 samples</w:t>
            </w:r>
          </w:p>
          <w:p>
            <w:pPr>
              <w:spacing w:after="0"/>
            </w:pPr>
            <w:r>
              <w:rPr>
                <w:b w:val="false"/>
                <w:bCs w:val="false"/>
                <w:color w:val="000000"/>
                <w:sz w:val="19"/>
                <w:szCs w:val="19"/>
              </w:rPr>
              <w:t xml:space="preserve">IRI-negative: 6 patients (MJ, HB, OC, Pt2, Pt6, Pt8) = 12 samples</w:t>
            </w:r>
          </w:p>
          <w:p>
            <w:pPr>
              <w:spacing w:after="0"/>
            </w:pPr>
            <w:r>
              <w:rPr>
                <w:b w:val="false"/>
                <w:bCs w:val="false"/>
                <w:color w:val="000000"/>
                <w:sz w:val="19"/>
                <w:szCs w:val="19"/>
              </w:rPr>
              <w:t xml:space="preserve">Structure: unbalanced 2 × 2 — IRI status (between-subject) × transplant stage (within-subject).</w:t>
            </w:r>
          </w:p>
          <w:p>
            <w:pPr>
              <w:spacing w:after="0"/>
            </w:pPr>
            <w:r>
              <w:rPr>
                <w:b w:val="false"/>
                <w:bCs w:val="false"/>
                <w:color w:val="000000"/>
                <w:sz w:val="19"/>
                <w:szCs w:val="19"/>
              </w:rPr>
              <w:t xml:space="preserve">Covariates annotated in GEO: transplant stage, IRI status, tissue (all liver). Age, sex, cold-ischemia time and donor characteristics are NOT in the GEO metadata.</w:t>
            </w:r>
          </w:p>
          <w:p>
            <w:pPr>
              <w:spacing w:after="0"/>
            </w:pPr>
            <w:r>
              <w:rPr>
                <w:b w:val="false"/>
                <w:bCs w:val="false"/>
                <w:color w:val="000000"/>
                <w:sz w:val="19"/>
                <w:szCs w:val="19"/>
              </w:rPr>
              <w:t xml:space="preserve">Batch: no run date, lane or batch field is reported. Single platform (GPL11154) throughout, so platform is not a confounder; sequencing depth (7.06–10.61 M assigned reads) is the measurable technical covariate.</w:t>
            </w:r>
          </w:p>
        </w:tc>
      </w:tr>
    </w:tbl>
    <w:p>
      <w:pPr>
        <w:pStyle w:val="Heading2"/>
        <w:spacing w:after="120" w:before="240"/>
      </w:pPr>
      <w:r>
        <w:t xml:space="preserve">Part B — The four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4A1C75" w:val="clear"/>
            <w:tcMar>
              <w:top w:type="dxa" w:w="80"/>
              <w:left w:type="dxa" w:w="110"/>
              <w:bottom w:type="dxa" w:w="80"/>
              <w:right w:type="dxa" w:w="110"/>
            </w:tcMar>
          </w:tcPr>
          <w:p>
            <w:pPr>
              <w:spacing w:after="0"/>
            </w:pPr>
            <w:r>
              <w:rPr>
                <w:b/>
                <w:bCs/>
                <w:color w:val="FFFFFF"/>
                <w:sz w:val="19"/>
                <w:szCs w:val="19"/>
              </w:rPr>
              <w:t xml:space="preserve">Question</w:t>
            </w:r>
          </w:p>
        </w:tc>
        <w:tc>
          <w:tcPr>
            <w:tcW w:type="dxa" w:w="7460"/>
            <w:shd w:fill="4A1C75" w:val="clear"/>
            <w:tcMar>
              <w:top w:type="dxa" w:w="80"/>
              <w:left w:type="dxa" w:w="110"/>
              <w:bottom w:type="dxa" w:w="80"/>
              <w:right w:type="dxa" w:w="110"/>
            </w:tcMar>
          </w:tcPr>
          <w:p>
            <w:pPr>
              <w:spacing w:after="0"/>
            </w:pPr>
            <w:r>
              <w:rPr>
                <w:b/>
                <w:bCs/>
                <w:color w:val="FFFFFF"/>
                <w:sz w:val="19"/>
                <w:szCs w:val="19"/>
              </w:rPr>
              <w:t xml:space="preserve">Decision and the evidence behind it</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Are the values counts?</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YES — verified, not assumed. I decompressed GSE87487_counts.20samples.txt.gz and checked every value: 60,498 genes × 20 samples = 1,209,960 values, all integers, no negatives, no NAs, min 0, max 1,003,757. Gene IDs are versioned Ensembl (e.g. ENSG00000223972.5).</w:t>
            </w:r>
          </w:p>
          <w:p>
            <w:pPr>
              <w:spacing w:after="0"/>
            </w:pPr>
            <w:r>
              <w:rPr>
                <w:b w:val="false"/>
                <w:bCs w:val="false"/>
                <w:color w:val="000000"/>
                <w:sz w:val="19"/>
                <w:szCs w:val="19"/>
              </w:rPr>
              <w:t xml:space="preserve">Important structural detail: the file is unmodified featureCounts output, so it has 26 columns — six annotation columns (Geneid, Chr, Start, End, Strand, Length) before the 20 sample columns. Reading it as a plain gene × sample matrix silently turns Chr/Start/End/Strand into "samples". Columns 7–26 are the data.</w:t>
            </w:r>
          </w:p>
          <w:p>
            <w:pPr>
              <w:spacing w:after="0"/>
            </w:pPr>
            <w:r>
              <w:rPr>
                <w:b w:val="false"/>
                <w:bCs w:val="false"/>
                <w:color w:val="000000"/>
                <w:sz w:val="19"/>
                <w:szCs w:val="19"/>
              </w:rPr>
              <w:t xml:space="preserve">Conclusion: valid DESeq2 input. No TPM/FPKM trap here.</w:t>
            </w:r>
          </w:p>
        </w:tc>
      </w:tr>
      <w:tr>
        <w:trPr>
          <w:tblHeader w:val="false"/>
        </w:trPr>
        <w:tc>
          <w:tcPr>
            <w:tcW w:type="dxa" w:w="1900"/>
            <w:shd w:fill="F4EFFA" w:val="clear"/>
            <w:tcMar>
              <w:top w:type="dxa" w:w="80"/>
              <w:left w:type="dxa" w:w="110"/>
              <w:bottom w:type="dxa" w:w="80"/>
              <w:right w:type="dxa" w:w="110"/>
            </w:tcMar>
          </w:tcPr>
          <w:p>
            <w:pPr>
              <w:spacing w:after="0"/>
            </w:pPr>
            <w:r>
              <w:rPr>
                <w:b w:val="false"/>
                <w:bCs w:val="false"/>
                <w:color w:val="000000"/>
                <w:sz w:val="19"/>
                <w:szCs w:val="19"/>
              </w:rPr>
              <w:t xml:space="preserve">Are samples independent?</w:t>
            </w:r>
          </w:p>
        </w:tc>
        <w:tc>
          <w:tcPr>
            <w:tcW w:type="dxa" w:w="7460"/>
            <w:shd w:fill="F4EFFA" w:val="clear"/>
            <w:tcMar>
              <w:top w:type="dxa" w:w="80"/>
              <w:left w:type="dxa" w:w="110"/>
              <w:bottom w:type="dxa" w:w="80"/>
              <w:right w:type="dxa" w:w="110"/>
            </w:tcMar>
          </w:tcPr>
          <w:p>
            <w:pPr>
              <w:spacing w:after="0"/>
            </w:pPr>
            <w:r>
              <w:rPr>
                <w:b w:val="false"/>
                <w:bCs w:val="false"/>
                <w:color w:val="000000"/>
                <w:sz w:val="19"/>
                <w:szCs w:val="19"/>
              </w:rPr>
              <w:t xml:space="preserve">NO. Each of the 10 patients contributes two biopsies, so the 20 samples are 10 correlated pairs. Treating them as 20 independent observations would inflate the effective sample size and produce anti-conservative p-values.</w:t>
            </w:r>
          </w:p>
          <w:p>
            <w:pPr>
              <w:spacing w:after="0"/>
            </w:pPr>
            <w:r>
              <w:rPr>
                <w:b w:val="false"/>
                <w:bCs w:val="false"/>
                <w:color w:val="000000"/>
                <w:sz w:val="19"/>
                <w:szCs w:val="19"/>
              </w:rPr>
              <w:t xml:space="preserve">Handling: keep patient in the metadata and in the model — design = ~ patient + stage for the pre→post contrast. Patient absorbs the within-subject correlation; a patient term also soaks up the unreported donor/age/sex variation that GEO does not provide.</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Can all 20 samples be compared directly?</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No — not as one undifferentiated group. The design is unbalanced (8 IRI+ vs 12 IRI− samples; 4 vs 6 patients), and stage is nested within patient while IRI status is not. A specific contrast has to be named before any test is run.</w:t>
            </w:r>
          </w:p>
          <w:p>
            <w:pPr>
              <w:spacing w:after="0"/>
            </w:pPr>
            <w:r>
              <w:rPr>
                <w:b w:val="false"/>
                <w:bCs w:val="false"/>
                <w:color w:val="000000"/>
                <w:sz w:val="19"/>
                <w:szCs w:val="19"/>
              </w:rPr>
              <w:t xml:space="preserve">My contrast: stage_post_vs_pre within the paired model. The IRI × stage interaction is the biologically interesting question, but with 4 vs 6 patients it is underpowered — I will report it as exploratory rather than confirmatory.</w:t>
            </w:r>
          </w:p>
        </w:tc>
      </w:tr>
      <w:tr>
        <w:trPr>
          <w:tblHeader w:val="false"/>
        </w:trPr>
        <w:tc>
          <w:tcPr>
            <w:tcW w:type="dxa" w:w="1900"/>
            <w:shd w:fill="F4EFFA" w:val="clear"/>
            <w:tcMar>
              <w:top w:type="dxa" w:w="80"/>
              <w:left w:type="dxa" w:w="110"/>
              <w:bottom w:type="dxa" w:w="80"/>
              <w:right w:type="dxa" w:w="110"/>
            </w:tcMar>
          </w:tcPr>
          <w:p>
            <w:pPr>
              <w:spacing w:after="0"/>
            </w:pPr>
            <w:r>
              <w:rPr>
                <w:b w:val="false"/>
                <w:bCs w:val="false"/>
                <w:color w:val="000000"/>
                <w:sz w:val="19"/>
                <w:szCs w:val="19"/>
              </w:rPr>
              <w:t xml:space="preserve">Is full raw-read reprocessing possible?</w:t>
            </w:r>
          </w:p>
        </w:tc>
        <w:tc>
          <w:tcPr>
            <w:tcW w:type="dxa" w:w="7460"/>
            <w:shd w:fill="F4EFFA" w:val="clear"/>
            <w:tcMar>
              <w:top w:type="dxa" w:w="80"/>
              <w:left w:type="dxa" w:w="110"/>
              <w:bottom w:type="dxa" w:w="80"/>
              <w:right w:type="dxa" w:w="110"/>
            </w:tcMar>
          </w:tcPr>
          <w:p>
            <w:pPr>
              <w:spacing w:after="0"/>
            </w:pPr>
            <w:r>
              <w:rPr>
                <w:b w:val="false"/>
                <w:bCs w:val="false"/>
                <w:color w:val="000000"/>
                <w:sz w:val="19"/>
                <w:szCs w:val="19"/>
              </w:rPr>
              <w:t xml:space="preserve">Possible but unnecessary here. All 20 runs are public under SRP090633 / PRJNA344898, so a full FASTQ → STAR → featureCounts rebuild is feasible in principle. It is out of scope for a one-hour homework, and — more to the point — the supplementary file already contains genuine raw integer counts, so reprocessing would buy nothing for this question. Reprocessing would only be justified if I needed a different annotation build, novel features, or variant calls.</w:t>
            </w:r>
          </w:p>
        </w:tc>
      </w:tr>
    </w:tbl>
    <w:p>
      <w:pPr>
        <w:pageBreakBefore/>
      </w:pPr>
    </w:p>
    <w:p>
      <w:pPr>
        <w:pStyle w:val="Heading2"/>
        <w:spacing w:after="120" w:before="240"/>
      </w:pPr>
      <w:r>
        <w:t xml:space="preserve">Part C — Verified sample table (all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050"/>
        <w:gridCol w:w="900"/>
        <w:gridCol w:w="900"/>
        <w:gridCol w:w="1600"/>
        <w:gridCol w:w="2210"/>
      </w:tblGrid>
      <w:tr>
        <w:trPr>
          <w:tblHeader/>
        </w:trPr>
        <w:tc>
          <w:tcPr>
            <w:tcW w:type="dxa" w:w="1500"/>
            <w:shd w:fill="4A1C75" w:val="clear"/>
            <w:tcMar>
              <w:top w:type="dxa" w:w="80"/>
              <w:left w:type="dxa" w:w="110"/>
              <w:bottom w:type="dxa" w:w="80"/>
              <w:right w:type="dxa" w:w="110"/>
            </w:tcMar>
          </w:tcPr>
          <w:p>
            <w:pPr>
              <w:spacing w:after="0"/>
            </w:pPr>
            <w:r>
              <w:rPr>
                <w:b/>
                <w:bCs/>
                <w:color w:val="FFFFFF"/>
                <w:sz w:val="17"/>
                <w:szCs w:val="17"/>
              </w:rPr>
              <w:t xml:space="preserve">GSM</w:t>
            </w:r>
          </w:p>
        </w:tc>
        <w:tc>
          <w:tcPr>
            <w:tcW w:type="dxa" w:w="1200"/>
            <w:shd w:fill="4A1C75" w:val="clear"/>
            <w:tcMar>
              <w:top w:type="dxa" w:w="80"/>
              <w:left w:type="dxa" w:w="110"/>
              <w:bottom w:type="dxa" w:w="80"/>
              <w:right w:type="dxa" w:w="110"/>
            </w:tcMar>
          </w:tcPr>
          <w:p>
            <w:pPr>
              <w:spacing w:after="0"/>
            </w:pPr>
            <w:r>
              <w:rPr>
                <w:b/>
                <w:bCs/>
                <w:color w:val="FFFFFF"/>
                <w:sz w:val="17"/>
                <w:szCs w:val="17"/>
              </w:rPr>
              <w:t xml:space="preserve">Title</w:t>
            </w:r>
          </w:p>
        </w:tc>
        <w:tc>
          <w:tcPr>
            <w:tcW w:type="dxa" w:w="1050"/>
            <w:shd w:fill="4A1C75" w:val="clear"/>
            <w:tcMar>
              <w:top w:type="dxa" w:w="80"/>
              <w:left w:type="dxa" w:w="110"/>
              <w:bottom w:type="dxa" w:w="80"/>
              <w:right w:type="dxa" w:w="110"/>
            </w:tcMar>
          </w:tcPr>
          <w:p>
            <w:pPr>
              <w:spacing w:after="0"/>
            </w:pPr>
            <w:r>
              <w:rPr>
                <w:b/>
                <w:bCs/>
                <w:color w:val="FFFFFF"/>
                <w:sz w:val="17"/>
                <w:szCs w:val="17"/>
              </w:rPr>
              <w:t xml:space="preserve">Patient</w:t>
            </w:r>
          </w:p>
        </w:tc>
        <w:tc>
          <w:tcPr>
            <w:tcW w:type="dxa" w:w="900"/>
            <w:shd w:fill="4A1C75" w:val="clear"/>
            <w:tcMar>
              <w:top w:type="dxa" w:w="80"/>
              <w:left w:type="dxa" w:w="110"/>
              <w:bottom w:type="dxa" w:w="80"/>
              <w:right w:type="dxa" w:w="110"/>
            </w:tcMar>
          </w:tcPr>
          <w:p>
            <w:pPr>
              <w:spacing w:after="0"/>
            </w:pPr>
            <w:r>
              <w:rPr>
                <w:b/>
                <w:bCs/>
                <w:color w:val="FFFFFF"/>
                <w:sz w:val="17"/>
                <w:szCs w:val="17"/>
              </w:rPr>
              <w:t xml:space="preserve">IRI</w:t>
            </w:r>
          </w:p>
        </w:tc>
        <w:tc>
          <w:tcPr>
            <w:tcW w:type="dxa" w:w="900"/>
            <w:shd w:fill="4A1C75" w:val="clear"/>
            <w:tcMar>
              <w:top w:type="dxa" w:w="80"/>
              <w:left w:type="dxa" w:w="110"/>
              <w:bottom w:type="dxa" w:w="80"/>
              <w:right w:type="dxa" w:w="110"/>
            </w:tcMar>
          </w:tcPr>
          <w:p>
            <w:pPr>
              <w:spacing w:after="0"/>
            </w:pPr>
            <w:r>
              <w:rPr>
                <w:b/>
                <w:bCs/>
                <w:color w:val="FFFFFF"/>
                <w:sz w:val="17"/>
                <w:szCs w:val="17"/>
              </w:rPr>
              <w:t xml:space="preserve">Stage</w:t>
            </w:r>
          </w:p>
        </w:tc>
        <w:tc>
          <w:tcPr>
            <w:tcW w:type="dxa" w:w="1600"/>
            <w:shd w:fill="4A1C75" w:val="clear"/>
            <w:tcMar>
              <w:top w:type="dxa" w:w="80"/>
              <w:left w:type="dxa" w:w="110"/>
              <w:bottom w:type="dxa" w:w="80"/>
              <w:right w:type="dxa" w:w="110"/>
            </w:tcMar>
          </w:tcPr>
          <w:p>
            <w:pPr>
              <w:spacing w:after="0"/>
            </w:pPr>
            <w:r>
              <w:rPr>
                <w:b/>
                <w:bCs/>
                <w:color w:val="FFFFFF"/>
                <w:sz w:val="17"/>
                <w:szCs w:val="17"/>
              </w:rPr>
              <w:t xml:space="preserve">SRA run</w:t>
            </w:r>
          </w:p>
        </w:tc>
        <w:tc>
          <w:tcPr>
            <w:tcW w:type="dxa" w:w="2210"/>
            <w:shd w:fill="4A1C75" w:val="clear"/>
            <w:tcMar>
              <w:top w:type="dxa" w:w="80"/>
              <w:left w:type="dxa" w:w="110"/>
              <w:bottom w:type="dxa" w:w="80"/>
              <w:right w:type="dxa" w:w="110"/>
            </w:tcMar>
          </w:tcPr>
          <w:p>
            <w:pPr>
              <w:spacing w:after="0"/>
            </w:pPr>
            <w:r>
              <w:rPr>
                <w:b/>
                <w:bCs/>
                <w:color w:val="FFFFFF"/>
                <w:sz w:val="17"/>
                <w:szCs w:val="17"/>
              </w:rPr>
              <w:t xml:space="preserve">Assigned reads</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7"/>
                <w:szCs w:val="17"/>
              </w:rPr>
              <w:t xml:space="preserve">GSM2332515</w:t>
            </w:r>
          </w:p>
        </w:tc>
        <w:tc>
          <w:tcPr>
            <w:tcW w:type="dxa" w:w="1200"/>
            <w:tcMar>
              <w:top w:type="dxa" w:w="80"/>
              <w:left w:type="dxa" w:w="110"/>
              <w:bottom w:type="dxa" w:w="80"/>
              <w:right w:type="dxa" w:w="110"/>
            </w:tcMar>
          </w:tcPr>
          <w:p>
            <w:pPr>
              <w:spacing w:after="0"/>
            </w:pPr>
            <w:r>
              <w:rPr>
                <w:b w:val="false"/>
                <w:bCs w:val="false"/>
                <w:color w:val="000000"/>
                <w:sz w:val="17"/>
                <w:szCs w:val="17"/>
              </w:rPr>
              <w:t xml:space="preserve">RJBx1</w:t>
            </w:r>
          </w:p>
        </w:tc>
        <w:tc>
          <w:tcPr>
            <w:tcW w:type="dxa" w:w="1050"/>
            <w:tcMar>
              <w:top w:type="dxa" w:w="80"/>
              <w:left w:type="dxa" w:w="110"/>
              <w:bottom w:type="dxa" w:w="80"/>
              <w:right w:type="dxa" w:w="110"/>
            </w:tcMar>
          </w:tcPr>
          <w:p>
            <w:pPr>
              <w:spacing w:after="0"/>
            </w:pPr>
            <w:r>
              <w:rPr>
                <w:b w:val="false"/>
                <w:bCs w:val="false"/>
                <w:color w:val="000000"/>
                <w:sz w:val="17"/>
                <w:szCs w:val="17"/>
              </w:rPr>
              <w:t xml:space="preserve">RJ</w:t>
            </w:r>
          </w:p>
        </w:tc>
        <w:tc>
          <w:tcPr>
            <w:tcW w:type="dxa" w:w="900"/>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tcMar>
              <w:top w:type="dxa" w:w="80"/>
              <w:left w:type="dxa" w:w="110"/>
              <w:bottom w:type="dxa" w:w="80"/>
              <w:right w:type="dxa" w:w="110"/>
            </w:tcMar>
          </w:tcPr>
          <w:p>
            <w:pPr>
              <w:spacing w:after="0"/>
            </w:pPr>
            <w:r>
              <w:rPr>
                <w:b w:val="false"/>
                <w:bCs w:val="false"/>
                <w:color w:val="000000"/>
                <w:sz w:val="17"/>
                <w:szCs w:val="17"/>
              </w:rPr>
              <w:t xml:space="preserve">pre</w:t>
            </w:r>
          </w:p>
        </w:tc>
        <w:tc>
          <w:tcPr>
            <w:tcW w:type="dxa" w:w="1600"/>
            <w:tcMar>
              <w:top w:type="dxa" w:w="80"/>
              <w:left w:type="dxa" w:w="110"/>
              <w:bottom w:type="dxa" w:w="80"/>
              <w:right w:type="dxa" w:w="110"/>
            </w:tcMar>
          </w:tcPr>
          <w:p>
            <w:pPr>
              <w:spacing w:after="0"/>
            </w:pPr>
            <w:r>
              <w:rPr>
                <w:b w:val="false"/>
                <w:bCs w:val="false"/>
                <w:color w:val="000000"/>
                <w:sz w:val="17"/>
                <w:szCs w:val="17"/>
              </w:rPr>
              <w:t xml:space="preserve">SRX2199841</w:t>
            </w:r>
          </w:p>
        </w:tc>
        <w:tc>
          <w:tcPr>
            <w:tcW w:type="dxa" w:w="2210"/>
            <w:tcMar>
              <w:top w:type="dxa" w:w="80"/>
              <w:left w:type="dxa" w:w="110"/>
              <w:bottom w:type="dxa" w:w="80"/>
              <w:right w:type="dxa" w:w="110"/>
            </w:tcMar>
          </w:tcPr>
          <w:p>
            <w:pPr>
              <w:spacing w:after="0"/>
            </w:pPr>
            <w:r>
              <w:rPr>
                <w:b w:val="false"/>
                <w:bCs w:val="false"/>
                <w:color w:val="000000"/>
                <w:sz w:val="17"/>
                <w:szCs w:val="17"/>
              </w:rPr>
              <w:t xml:space="preserve">10,610,420</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7"/>
                <w:szCs w:val="17"/>
              </w:rPr>
              <w:t xml:space="preserve">GSM2332516</w:t>
            </w:r>
          </w:p>
        </w:tc>
        <w:tc>
          <w:tcPr>
            <w:tcW w:type="dxa" w:w="1200"/>
            <w:shd w:fill="F4EFFA" w:val="clear"/>
            <w:tcMar>
              <w:top w:type="dxa" w:w="80"/>
              <w:left w:type="dxa" w:w="110"/>
              <w:bottom w:type="dxa" w:w="80"/>
              <w:right w:type="dxa" w:w="110"/>
            </w:tcMar>
          </w:tcPr>
          <w:p>
            <w:pPr>
              <w:spacing w:after="0"/>
            </w:pPr>
            <w:r>
              <w:rPr>
                <w:b w:val="false"/>
                <w:bCs w:val="false"/>
                <w:color w:val="000000"/>
                <w:sz w:val="17"/>
                <w:szCs w:val="17"/>
              </w:rPr>
              <w:t xml:space="preserve">RJBx2</w:t>
            </w:r>
          </w:p>
        </w:tc>
        <w:tc>
          <w:tcPr>
            <w:tcW w:type="dxa" w:w="1050"/>
            <w:shd w:fill="F4EFFA" w:val="clear"/>
            <w:tcMar>
              <w:top w:type="dxa" w:w="80"/>
              <w:left w:type="dxa" w:w="110"/>
              <w:bottom w:type="dxa" w:w="80"/>
              <w:right w:type="dxa" w:w="110"/>
            </w:tcMar>
          </w:tcPr>
          <w:p>
            <w:pPr>
              <w:spacing w:after="0"/>
            </w:pPr>
            <w:r>
              <w:rPr>
                <w:b w:val="false"/>
                <w:bCs w:val="false"/>
                <w:color w:val="000000"/>
                <w:sz w:val="17"/>
                <w:szCs w:val="17"/>
              </w:rPr>
              <w:t xml:space="preserve">RJ</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post</w:t>
            </w:r>
          </w:p>
        </w:tc>
        <w:tc>
          <w:tcPr>
            <w:tcW w:type="dxa" w:w="1600"/>
            <w:shd w:fill="F4EFFA" w:val="clear"/>
            <w:tcMar>
              <w:top w:type="dxa" w:w="80"/>
              <w:left w:type="dxa" w:w="110"/>
              <w:bottom w:type="dxa" w:w="80"/>
              <w:right w:type="dxa" w:w="110"/>
            </w:tcMar>
          </w:tcPr>
          <w:p>
            <w:pPr>
              <w:spacing w:after="0"/>
            </w:pPr>
            <w:r>
              <w:rPr>
                <w:b w:val="false"/>
                <w:bCs w:val="false"/>
                <w:color w:val="000000"/>
                <w:sz w:val="17"/>
                <w:szCs w:val="17"/>
              </w:rPr>
              <w:t xml:space="preserve">SRX2199842</w:t>
            </w:r>
          </w:p>
        </w:tc>
        <w:tc>
          <w:tcPr>
            <w:tcW w:type="dxa" w:w="2210"/>
            <w:shd w:fill="F4EFFA" w:val="clear"/>
            <w:tcMar>
              <w:top w:type="dxa" w:w="80"/>
              <w:left w:type="dxa" w:w="110"/>
              <w:bottom w:type="dxa" w:w="80"/>
              <w:right w:type="dxa" w:w="110"/>
            </w:tcMar>
          </w:tcPr>
          <w:p>
            <w:pPr>
              <w:spacing w:after="0"/>
            </w:pPr>
            <w:r>
              <w:rPr>
                <w:b w:val="false"/>
                <w:bCs w:val="false"/>
                <w:color w:val="000000"/>
                <w:sz w:val="17"/>
                <w:szCs w:val="17"/>
              </w:rPr>
              <w:t xml:space="preserve">8,388,551</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7"/>
                <w:szCs w:val="17"/>
              </w:rPr>
              <w:t xml:space="preserve">GSM2332517</w:t>
            </w:r>
          </w:p>
        </w:tc>
        <w:tc>
          <w:tcPr>
            <w:tcW w:type="dxa" w:w="1200"/>
            <w:tcMar>
              <w:top w:type="dxa" w:w="80"/>
              <w:left w:type="dxa" w:w="110"/>
              <w:bottom w:type="dxa" w:w="80"/>
              <w:right w:type="dxa" w:w="110"/>
            </w:tcMar>
          </w:tcPr>
          <w:p>
            <w:pPr>
              <w:spacing w:after="0"/>
            </w:pPr>
            <w:r>
              <w:rPr>
                <w:b w:val="false"/>
                <w:bCs w:val="false"/>
                <w:color w:val="000000"/>
                <w:sz w:val="17"/>
                <w:szCs w:val="17"/>
              </w:rPr>
              <w:t xml:space="preserve">MJBx1</w:t>
            </w:r>
          </w:p>
        </w:tc>
        <w:tc>
          <w:tcPr>
            <w:tcW w:type="dxa" w:w="1050"/>
            <w:tcMar>
              <w:top w:type="dxa" w:w="80"/>
              <w:left w:type="dxa" w:w="110"/>
              <w:bottom w:type="dxa" w:w="80"/>
              <w:right w:type="dxa" w:w="110"/>
            </w:tcMar>
          </w:tcPr>
          <w:p>
            <w:pPr>
              <w:spacing w:after="0"/>
            </w:pPr>
            <w:r>
              <w:rPr>
                <w:b w:val="false"/>
                <w:bCs w:val="false"/>
                <w:color w:val="000000"/>
                <w:sz w:val="17"/>
                <w:szCs w:val="17"/>
              </w:rPr>
              <w:t xml:space="preserve">MJ</w:t>
            </w:r>
          </w:p>
        </w:tc>
        <w:tc>
          <w:tcPr>
            <w:tcW w:type="dxa" w:w="900"/>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tcMar>
              <w:top w:type="dxa" w:w="80"/>
              <w:left w:type="dxa" w:w="110"/>
              <w:bottom w:type="dxa" w:w="80"/>
              <w:right w:type="dxa" w:w="110"/>
            </w:tcMar>
          </w:tcPr>
          <w:p>
            <w:pPr>
              <w:spacing w:after="0"/>
            </w:pPr>
            <w:r>
              <w:rPr>
                <w:b w:val="false"/>
                <w:bCs w:val="false"/>
                <w:color w:val="000000"/>
                <w:sz w:val="17"/>
                <w:szCs w:val="17"/>
              </w:rPr>
              <w:t xml:space="preserve">pre</w:t>
            </w:r>
          </w:p>
        </w:tc>
        <w:tc>
          <w:tcPr>
            <w:tcW w:type="dxa" w:w="1600"/>
            <w:tcMar>
              <w:top w:type="dxa" w:w="80"/>
              <w:left w:type="dxa" w:w="110"/>
              <w:bottom w:type="dxa" w:w="80"/>
              <w:right w:type="dxa" w:w="110"/>
            </w:tcMar>
          </w:tcPr>
          <w:p>
            <w:pPr>
              <w:spacing w:after="0"/>
            </w:pPr>
            <w:r>
              <w:rPr>
                <w:b w:val="false"/>
                <w:bCs w:val="false"/>
                <w:color w:val="000000"/>
                <w:sz w:val="17"/>
                <w:szCs w:val="17"/>
              </w:rPr>
              <w:t xml:space="preserve">SRX2199843</w:t>
            </w:r>
          </w:p>
        </w:tc>
        <w:tc>
          <w:tcPr>
            <w:tcW w:type="dxa" w:w="2210"/>
            <w:tcMar>
              <w:top w:type="dxa" w:w="80"/>
              <w:left w:type="dxa" w:w="110"/>
              <w:bottom w:type="dxa" w:w="80"/>
              <w:right w:type="dxa" w:w="110"/>
            </w:tcMar>
          </w:tcPr>
          <w:p>
            <w:pPr>
              <w:spacing w:after="0"/>
            </w:pPr>
            <w:r>
              <w:rPr>
                <w:b w:val="false"/>
                <w:bCs w:val="false"/>
                <w:color w:val="000000"/>
                <w:sz w:val="17"/>
                <w:szCs w:val="17"/>
              </w:rPr>
              <w:t xml:space="preserve">10,355,042</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7"/>
                <w:szCs w:val="17"/>
              </w:rPr>
              <w:t xml:space="preserve">GSM2332518</w:t>
            </w:r>
          </w:p>
        </w:tc>
        <w:tc>
          <w:tcPr>
            <w:tcW w:type="dxa" w:w="1200"/>
            <w:shd w:fill="F4EFFA" w:val="clear"/>
            <w:tcMar>
              <w:top w:type="dxa" w:w="80"/>
              <w:left w:type="dxa" w:w="110"/>
              <w:bottom w:type="dxa" w:w="80"/>
              <w:right w:type="dxa" w:w="110"/>
            </w:tcMar>
          </w:tcPr>
          <w:p>
            <w:pPr>
              <w:spacing w:after="0"/>
            </w:pPr>
            <w:r>
              <w:rPr>
                <w:b w:val="false"/>
                <w:bCs w:val="false"/>
                <w:color w:val="000000"/>
                <w:sz w:val="17"/>
                <w:szCs w:val="17"/>
              </w:rPr>
              <w:t xml:space="preserve">MJBx2</w:t>
            </w:r>
          </w:p>
        </w:tc>
        <w:tc>
          <w:tcPr>
            <w:tcW w:type="dxa" w:w="1050"/>
            <w:shd w:fill="F4EFFA" w:val="clear"/>
            <w:tcMar>
              <w:top w:type="dxa" w:w="80"/>
              <w:left w:type="dxa" w:w="110"/>
              <w:bottom w:type="dxa" w:w="80"/>
              <w:right w:type="dxa" w:w="110"/>
            </w:tcMar>
          </w:tcPr>
          <w:p>
            <w:pPr>
              <w:spacing w:after="0"/>
            </w:pPr>
            <w:r>
              <w:rPr>
                <w:b w:val="false"/>
                <w:bCs w:val="false"/>
                <w:color w:val="000000"/>
                <w:sz w:val="17"/>
                <w:szCs w:val="17"/>
              </w:rPr>
              <w:t xml:space="preserve">MJ</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post</w:t>
            </w:r>
          </w:p>
        </w:tc>
        <w:tc>
          <w:tcPr>
            <w:tcW w:type="dxa" w:w="1600"/>
            <w:shd w:fill="F4EFFA" w:val="clear"/>
            <w:tcMar>
              <w:top w:type="dxa" w:w="80"/>
              <w:left w:type="dxa" w:w="110"/>
              <w:bottom w:type="dxa" w:w="80"/>
              <w:right w:type="dxa" w:w="110"/>
            </w:tcMar>
          </w:tcPr>
          <w:p>
            <w:pPr>
              <w:spacing w:after="0"/>
            </w:pPr>
            <w:r>
              <w:rPr>
                <w:b w:val="false"/>
                <w:bCs w:val="false"/>
                <w:color w:val="000000"/>
                <w:sz w:val="17"/>
                <w:szCs w:val="17"/>
              </w:rPr>
              <w:t xml:space="preserve">SRX2199844</w:t>
            </w:r>
          </w:p>
        </w:tc>
        <w:tc>
          <w:tcPr>
            <w:tcW w:type="dxa" w:w="2210"/>
            <w:shd w:fill="F4EFFA" w:val="clear"/>
            <w:tcMar>
              <w:top w:type="dxa" w:w="80"/>
              <w:left w:type="dxa" w:w="110"/>
              <w:bottom w:type="dxa" w:w="80"/>
              <w:right w:type="dxa" w:w="110"/>
            </w:tcMar>
          </w:tcPr>
          <w:p>
            <w:pPr>
              <w:spacing w:after="0"/>
            </w:pPr>
            <w:r>
              <w:rPr>
                <w:b w:val="false"/>
                <w:bCs w:val="false"/>
                <w:color w:val="000000"/>
                <w:sz w:val="17"/>
                <w:szCs w:val="17"/>
              </w:rPr>
              <w:t xml:space="preserve">10,227,670</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7"/>
                <w:szCs w:val="17"/>
              </w:rPr>
              <w:t xml:space="preserve">GSM2332519</w:t>
            </w:r>
          </w:p>
        </w:tc>
        <w:tc>
          <w:tcPr>
            <w:tcW w:type="dxa" w:w="1200"/>
            <w:tcMar>
              <w:top w:type="dxa" w:w="80"/>
              <w:left w:type="dxa" w:w="110"/>
              <w:bottom w:type="dxa" w:w="80"/>
              <w:right w:type="dxa" w:w="110"/>
            </w:tcMar>
          </w:tcPr>
          <w:p>
            <w:pPr>
              <w:spacing w:after="0"/>
            </w:pPr>
            <w:r>
              <w:rPr>
                <w:b w:val="false"/>
                <w:bCs w:val="false"/>
                <w:color w:val="000000"/>
                <w:sz w:val="17"/>
                <w:szCs w:val="17"/>
              </w:rPr>
              <w:t xml:space="preserve">HBBX1</w:t>
            </w:r>
          </w:p>
        </w:tc>
        <w:tc>
          <w:tcPr>
            <w:tcW w:type="dxa" w:w="1050"/>
            <w:tcMar>
              <w:top w:type="dxa" w:w="80"/>
              <w:left w:type="dxa" w:w="110"/>
              <w:bottom w:type="dxa" w:w="80"/>
              <w:right w:type="dxa" w:w="110"/>
            </w:tcMar>
          </w:tcPr>
          <w:p>
            <w:pPr>
              <w:spacing w:after="0"/>
            </w:pPr>
            <w:r>
              <w:rPr>
                <w:b w:val="false"/>
                <w:bCs w:val="false"/>
                <w:color w:val="000000"/>
                <w:sz w:val="17"/>
                <w:szCs w:val="17"/>
              </w:rPr>
              <w:t xml:space="preserve">HB</w:t>
            </w:r>
          </w:p>
        </w:tc>
        <w:tc>
          <w:tcPr>
            <w:tcW w:type="dxa" w:w="900"/>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tcMar>
              <w:top w:type="dxa" w:w="80"/>
              <w:left w:type="dxa" w:w="110"/>
              <w:bottom w:type="dxa" w:w="80"/>
              <w:right w:type="dxa" w:w="110"/>
            </w:tcMar>
          </w:tcPr>
          <w:p>
            <w:pPr>
              <w:spacing w:after="0"/>
            </w:pPr>
            <w:r>
              <w:rPr>
                <w:b w:val="false"/>
                <w:bCs w:val="false"/>
                <w:color w:val="000000"/>
                <w:sz w:val="17"/>
                <w:szCs w:val="17"/>
              </w:rPr>
              <w:t xml:space="preserve">pre</w:t>
            </w:r>
          </w:p>
        </w:tc>
        <w:tc>
          <w:tcPr>
            <w:tcW w:type="dxa" w:w="1600"/>
            <w:tcMar>
              <w:top w:type="dxa" w:w="80"/>
              <w:left w:type="dxa" w:w="110"/>
              <w:bottom w:type="dxa" w:w="80"/>
              <w:right w:type="dxa" w:w="110"/>
            </w:tcMar>
          </w:tcPr>
          <w:p>
            <w:pPr>
              <w:spacing w:after="0"/>
            </w:pPr>
            <w:r>
              <w:rPr>
                <w:b w:val="false"/>
                <w:bCs w:val="false"/>
                <w:color w:val="000000"/>
                <w:sz w:val="17"/>
                <w:szCs w:val="17"/>
              </w:rPr>
              <w:t xml:space="preserve">SRX2199845</w:t>
            </w:r>
          </w:p>
        </w:tc>
        <w:tc>
          <w:tcPr>
            <w:tcW w:type="dxa" w:w="2210"/>
            <w:tcMar>
              <w:top w:type="dxa" w:w="80"/>
              <w:left w:type="dxa" w:w="110"/>
              <w:bottom w:type="dxa" w:w="80"/>
              <w:right w:type="dxa" w:w="110"/>
            </w:tcMar>
          </w:tcPr>
          <w:p>
            <w:pPr>
              <w:spacing w:after="0"/>
            </w:pPr>
            <w:r>
              <w:rPr>
                <w:b w:val="false"/>
                <w:bCs w:val="false"/>
                <w:color w:val="000000"/>
                <w:sz w:val="17"/>
                <w:szCs w:val="17"/>
              </w:rPr>
              <w:t xml:space="preserve">9,562,054</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7"/>
                <w:szCs w:val="17"/>
              </w:rPr>
              <w:t xml:space="preserve">GSM2332520</w:t>
            </w:r>
          </w:p>
        </w:tc>
        <w:tc>
          <w:tcPr>
            <w:tcW w:type="dxa" w:w="1200"/>
            <w:shd w:fill="F4EFFA" w:val="clear"/>
            <w:tcMar>
              <w:top w:type="dxa" w:w="80"/>
              <w:left w:type="dxa" w:w="110"/>
              <w:bottom w:type="dxa" w:w="80"/>
              <w:right w:type="dxa" w:w="110"/>
            </w:tcMar>
          </w:tcPr>
          <w:p>
            <w:pPr>
              <w:spacing w:after="0"/>
            </w:pPr>
            <w:r>
              <w:rPr>
                <w:b w:val="false"/>
                <w:bCs w:val="false"/>
                <w:color w:val="000000"/>
                <w:sz w:val="17"/>
                <w:szCs w:val="17"/>
              </w:rPr>
              <w:t xml:space="preserve">HBBx2</w:t>
            </w:r>
          </w:p>
        </w:tc>
        <w:tc>
          <w:tcPr>
            <w:tcW w:type="dxa" w:w="1050"/>
            <w:shd w:fill="F4EFFA" w:val="clear"/>
            <w:tcMar>
              <w:top w:type="dxa" w:w="80"/>
              <w:left w:type="dxa" w:w="110"/>
              <w:bottom w:type="dxa" w:w="80"/>
              <w:right w:type="dxa" w:w="110"/>
            </w:tcMar>
          </w:tcPr>
          <w:p>
            <w:pPr>
              <w:spacing w:after="0"/>
            </w:pPr>
            <w:r>
              <w:rPr>
                <w:b w:val="false"/>
                <w:bCs w:val="false"/>
                <w:color w:val="000000"/>
                <w:sz w:val="17"/>
                <w:szCs w:val="17"/>
              </w:rPr>
              <w:t xml:space="preserve">HB</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post</w:t>
            </w:r>
          </w:p>
        </w:tc>
        <w:tc>
          <w:tcPr>
            <w:tcW w:type="dxa" w:w="1600"/>
            <w:shd w:fill="F4EFFA" w:val="clear"/>
            <w:tcMar>
              <w:top w:type="dxa" w:w="80"/>
              <w:left w:type="dxa" w:w="110"/>
              <w:bottom w:type="dxa" w:w="80"/>
              <w:right w:type="dxa" w:w="110"/>
            </w:tcMar>
          </w:tcPr>
          <w:p>
            <w:pPr>
              <w:spacing w:after="0"/>
            </w:pPr>
            <w:r>
              <w:rPr>
                <w:b w:val="false"/>
                <w:bCs w:val="false"/>
                <w:color w:val="000000"/>
                <w:sz w:val="17"/>
                <w:szCs w:val="17"/>
              </w:rPr>
              <w:t xml:space="preserve">SRX2199846</w:t>
            </w:r>
          </w:p>
        </w:tc>
        <w:tc>
          <w:tcPr>
            <w:tcW w:type="dxa" w:w="2210"/>
            <w:shd w:fill="F4EFFA" w:val="clear"/>
            <w:tcMar>
              <w:top w:type="dxa" w:w="80"/>
              <w:left w:type="dxa" w:w="110"/>
              <w:bottom w:type="dxa" w:w="80"/>
              <w:right w:type="dxa" w:w="110"/>
            </w:tcMar>
          </w:tcPr>
          <w:p>
            <w:pPr>
              <w:spacing w:after="0"/>
            </w:pPr>
            <w:r>
              <w:rPr>
                <w:b w:val="false"/>
                <w:bCs w:val="false"/>
                <w:color w:val="000000"/>
                <w:sz w:val="17"/>
                <w:szCs w:val="17"/>
              </w:rPr>
              <w:t xml:space="preserve">9,092,999</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7"/>
                <w:szCs w:val="17"/>
              </w:rPr>
              <w:t xml:space="preserve">GSM2332521</w:t>
            </w:r>
          </w:p>
        </w:tc>
        <w:tc>
          <w:tcPr>
            <w:tcW w:type="dxa" w:w="1200"/>
            <w:tcMar>
              <w:top w:type="dxa" w:w="80"/>
              <w:left w:type="dxa" w:w="110"/>
              <w:bottom w:type="dxa" w:w="80"/>
              <w:right w:type="dxa" w:w="110"/>
            </w:tcMar>
          </w:tcPr>
          <w:p>
            <w:pPr>
              <w:spacing w:after="0"/>
            </w:pPr>
            <w:r>
              <w:rPr>
                <w:b w:val="false"/>
                <w:bCs w:val="false"/>
                <w:color w:val="000000"/>
                <w:sz w:val="17"/>
                <w:szCs w:val="17"/>
              </w:rPr>
              <w:t xml:space="preserve">OCBx1</w:t>
            </w:r>
          </w:p>
        </w:tc>
        <w:tc>
          <w:tcPr>
            <w:tcW w:type="dxa" w:w="1050"/>
            <w:tcMar>
              <w:top w:type="dxa" w:w="80"/>
              <w:left w:type="dxa" w:w="110"/>
              <w:bottom w:type="dxa" w:w="80"/>
              <w:right w:type="dxa" w:w="110"/>
            </w:tcMar>
          </w:tcPr>
          <w:p>
            <w:pPr>
              <w:spacing w:after="0"/>
            </w:pPr>
            <w:r>
              <w:rPr>
                <w:b w:val="false"/>
                <w:bCs w:val="false"/>
                <w:color w:val="000000"/>
                <w:sz w:val="17"/>
                <w:szCs w:val="17"/>
              </w:rPr>
              <w:t xml:space="preserve">OC</w:t>
            </w:r>
          </w:p>
        </w:tc>
        <w:tc>
          <w:tcPr>
            <w:tcW w:type="dxa" w:w="900"/>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tcMar>
              <w:top w:type="dxa" w:w="80"/>
              <w:left w:type="dxa" w:w="110"/>
              <w:bottom w:type="dxa" w:w="80"/>
              <w:right w:type="dxa" w:w="110"/>
            </w:tcMar>
          </w:tcPr>
          <w:p>
            <w:pPr>
              <w:spacing w:after="0"/>
            </w:pPr>
            <w:r>
              <w:rPr>
                <w:b w:val="false"/>
                <w:bCs w:val="false"/>
                <w:color w:val="000000"/>
                <w:sz w:val="17"/>
                <w:szCs w:val="17"/>
              </w:rPr>
              <w:t xml:space="preserve">pre</w:t>
            </w:r>
          </w:p>
        </w:tc>
        <w:tc>
          <w:tcPr>
            <w:tcW w:type="dxa" w:w="1600"/>
            <w:tcMar>
              <w:top w:type="dxa" w:w="80"/>
              <w:left w:type="dxa" w:w="110"/>
              <w:bottom w:type="dxa" w:w="80"/>
              <w:right w:type="dxa" w:w="110"/>
            </w:tcMar>
          </w:tcPr>
          <w:p>
            <w:pPr>
              <w:spacing w:after="0"/>
            </w:pPr>
            <w:r>
              <w:rPr>
                <w:b w:val="false"/>
                <w:bCs w:val="false"/>
                <w:color w:val="000000"/>
                <w:sz w:val="17"/>
                <w:szCs w:val="17"/>
              </w:rPr>
              <w:t xml:space="preserve">SRX2199847</w:t>
            </w:r>
          </w:p>
        </w:tc>
        <w:tc>
          <w:tcPr>
            <w:tcW w:type="dxa" w:w="2210"/>
            <w:tcMar>
              <w:top w:type="dxa" w:w="80"/>
              <w:left w:type="dxa" w:w="110"/>
              <w:bottom w:type="dxa" w:w="80"/>
              <w:right w:type="dxa" w:w="110"/>
            </w:tcMar>
          </w:tcPr>
          <w:p>
            <w:pPr>
              <w:spacing w:after="0"/>
            </w:pPr>
            <w:r>
              <w:rPr>
                <w:b w:val="false"/>
                <w:bCs w:val="false"/>
                <w:color w:val="000000"/>
                <w:sz w:val="17"/>
                <w:szCs w:val="17"/>
              </w:rPr>
              <w:t xml:space="preserve">7,578,188</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7"/>
                <w:szCs w:val="17"/>
              </w:rPr>
              <w:t xml:space="preserve">GSM2332522</w:t>
            </w:r>
          </w:p>
        </w:tc>
        <w:tc>
          <w:tcPr>
            <w:tcW w:type="dxa" w:w="1200"/>
            <w:shd w:fill="F4EFFA" w:val="clear"/>
            <w:tcMar>
              <w:top w:type="dxa" w:w="80"/>
              <w:left w:type="dxa" w:w="110"/>
              <w:bottom w:type="dxa" w:w="80"/>
              <w:right w:type="dxa" w:w="110"/>
            </w:tcMar>
          </w:tcPr>
          <w:p>
            <w:pPr>
              <w:spacing w:after="0"/>
            </w:pPr>
            <w:r>
              <w:rPr>
                <w:b w:val="false"/>
                <w:bCs w:val="false"/>
                <w:color w:val="000000"/>
                <w:sz w:val="17"/>
                <w:szCs w:val="17"/>
              </w:rPr>
              <w:t xml:space="preserve">OCBx2</w:t>
            </w:r>
          </w:p>
        </w:tc>
        <w:tc>
          <w:tcPr>
            <w:tcW w:type="dxa" w:w="1050"/>
            <w:shd w:fill="F4EFFA" w:val="clear"/>
            <w:tcMar>
              <w:top w:type="dxa" w:w="80"/>
              <w:left w:type="dxa" w:w="110"/>
              <w:bottom w:type="dxa" w:w="80"/>
              <w:right w:type="dxa" w:w="110"/>
            </w:tcMar>
          </w:tcPr>
          <w:p>
            <w:pPr>
              <w:spacing w:after="0"/>
            </w:pPr>
            <w:r>
              <w:rPr>
                <w:b w:val="false"/>
                <w:bCs w:val="false"/>
                <w:color w:val="000000"/>
                <w:sz w:val="17"/>
                <w:szCs w:val="17"/>
              </w:rPr>
              <w:t xml:space="preserve">OC</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post</w:t>
            </w:r>
          </w:p>
        </w:tc>
        <w:tc>
          <w:tcPr>
            <w:tcW w:type="dxa" w:w="1600"/>
            <w:shd w:fill="F4EFFA" w:val="clear"/>
            <w:tcMar>
              <w:top w:type="dxa" w:w="80"/>
              <w:left w:type="dxa" w:w="110"/>
              <w:bottom w:type="dxa" w:w="80"/>
              <w:right w:type="dxa" w:w="110"/>
            </w:tcMar>
          </w:tcPr>
          <w:p>
            <w:pPr>
              <w:spacing w:after="0"/>
            </w:pPr>
            <w:r>
              <w:rPr>
                <w:b w:val="false"/>
                <w:bCs w:val="false"/>
                <w:color w:val="000000"/>
                <w:sz w:val="17"/>
                <w:szCs w:val="17"/>
              </w:rPr>
              <w:t xml:space="preserve">SRX2199848</w:t>
            </w:r>
          </w:p>
        </w:tc>
        <w:tc>
          <w:tcPr>
            <w:tcW w:type="dxa" w:w="2210"/>
            <w:shd w:fill="F4EFFA" w:val="clear"/>
            <w:tcMar>
              <w:top w:type="dxa" w:w="80"/>
              <w:left w:type="dxa" w:w="110"/>
              <w:bottom w:type="dxa" w:w="80"/>
              <w:right w:type="dxa" w:w="110"/>
            </w:tcMar>
          </w:tcPr>
          <w:p>
            <w:pPr>
              <w:spacing w:after="0"/>
            </w:pPr>
            <w:r>
              <w:rPr>
                <w:b w:val="false"/>
                <w:bCs w:val="false"/>
                <w:color w:val="000000"/>
                <w:sz w:val="17"/>
                <w:szCs w:val="17"/>
              </w:rPr>
              <w:t xml:space="preserve">7,059,456</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7"/>
                <w:szCs w:val="17"/>
              </w:rPr>
              <w:t xml:space="preserve">GSM2332523</w:t>
            </w:r>
          </w:p>
        </w:tc>
        <w:tc>
          <w:tcPr>
            <w:tcW w:type="dxa" w:w="1200"/>
            <w:tcMar>
              <w:top w:type="dxa" w:w="80"/>
              <w:left w:type="dxa" w:w="110"/>
              <w:bottom w:type="dxa" w:w="80"/>
              <w:right w:type="dxa" w:w="110"/>
            </w:tcMar>
          </w:tcPr>
          <w:p>
            <w:pPr>
              <w:spacing w:after="0"/>
            </w:pPr>
            <w:r>
              <w:rPr>
                <w:b w:val="false"/>
                <w:bCs w:val="false"/>
                <w:color w:val="000000"/>
                <w:sz w:val="17"/>
                <w:szCs w:val="17"/>
              </w:rPr>
              <w:t xml:space="preserve">Pt2Bx1</w:t>
            </w:r>
          </w:p>
        </w:tc>
        <w:tc>
          <w:tcPr>
            <w:tcW w:type="dxa" w:w="1050"/>
            <w:tcMar>
              <w:top w:type="dxa" w:w="80"/>
              <w:left w:type="dxa" w:w="110"/>
              <w:bottom w:type="dxa" w:w="80"/>
              <w:right w:type="dxa" w:w="110"/>
            </w:tcMar>
          </w:tcPr>
          <w:p>
            <w:pPr>
              <w:spacing w:after="0"/>
            </w:pPr>
            <w:r>
              <w:rPr>
                <w:b w:val="false"/>
                <w:bCs w:val="false"/>
                <w:color w:val="000000"/>
                <w:sz w:val="17"/>
                <w:szCs w:val="17"/>
              </w:rPr>
              <w:t xml:space="preserve">Pt2</w:t>
            </w:r>
          </w:p>
        </w:tc>
        <w:tc>
          <w:tcPr>
            <w:tcW w:type="dxa" w:w="900"/>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tcMar>
              <w:top w:type="dxa" w:w="80"/>
              <w:left w:type="dxa" w:w="110"/>
              <w:bottom w:type="dxa" w:w="80"/>
              <w:right w:type="dxa" w:w="110"/>
            </w:tcMar>
          </w:tcPr>
          <w:p>
            <w:pPr>
              <w:spacing w:after="0"/>
            </w:pPr>
            <w:r>
              <w:rPr>
                <w:b w:val="false"/>
                <w:bCs w:val="false"/>
                <w:color w:val="000000"/>
                <w:sz w:val="17"/>
                <w:szCs w:val="17"/>
              </w:rPr>
              <w:t xml:space="preserve">pre</w:t>
            </w:r>
          </w:p>
        </w:tc>
        <w:tc>
          <w:tcPr>
            <w:tcW w:type="dxa" w:w="1600"/>
            <w:tcMar>
              <w:top w:type="dxa" w:w="80"/>
              <w:left w:type="dxa" w:w="110"/>
              <w:bottom w:type="dxa" w:w="80"/>
              <w:right w:type="dxa" w:w="110"/>
            </w:tcMar>
          </w:tcPr>
          <w:p>
            <w:pPr>
              <w:spacing w:after="0"/>
            </w:pPr>
            <w:r>
              <w:rPr>
                <w:b w:val="false"/>
                <w:bCs w:val="false"/>
                <w:color w:val="000000"/>
                <w:sz w:val="17"/>
                <w:szCs w:val="17"/>
              </w:rPr>
              <w:t xml:space="preserve">SRX2199849</w:t>
            </w:r>
          </w:p>
        </w:tc>
        <w:tc>
          <w:tcPr>
            <w:tcW w:type="dxa" w:w="2210"/>
            <w:tcMar>
              <w:top w:type="dxa" w:w="80"/>
              <w:left w:type="dxa" w:w="110"/>
              <w:bottom w:type="dxa" w:w="80"/>
              <w:right w:type="dxa" w:w="110"/>
            </w:tcMar>
          </w:tcPr>
          <w:p>
            <w:pPr>
              <w:spacing w:after="0"/>
            </w:pPr>
            <w:r>
              <w:rPr>
                <w:b w:val="false"/>
                <w:bCs w:val="false"/>
                <w:color w:val="000000"/>
                <w:sz w:val="17"/>
                <w:szCs w:val="17"/>
              </w:rPr>
              <w:t xml:space="preserve">9,391,667</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7"/>
                <w:szCs w:val="17"/>
              </w:rPr>
              <w:t xml:space="preserve">GSM2332524</w:t>
            </w:r>
          </w:p>
        </w:tc>
        <w:tc>
          <w:tcPr>
            <w:tcW w:type="dxa" w:w="1200"/>
            <w:shd w:fill="F4EFFA" w:val="clear"/>
            <w:tcMar>
              <w:top w:type="dxa" w:w="80"/>
              <w:left w:type="dxa" w:w="110"/>
              <w:bottom w:type="dxa" w:w="80"/>
              <w:right w:type="dxa" w:w="110"/>
            </w:tcMar>
          </w:tcPr>
          <w:p>
            <w:pPr>
              <w:spacing w:after="0"/>
            </w:pPr>
            <w:r>
              <w:rPr>
                <w:b w:val="false"/>
                <w:bCs w:val="false"/>
                <w:color w:val="000000"/>
                <w:sz w:val="17"/>
                <w:szCs w:val="17"/>
              </w:rPr>
              <w:t xml:space="preserve">Pt2Bx2</w:t>
            </w:r>
          </w:p>
        </w:tc>
        <w:tc>
          <w:tcPr>
            <w:tcW w:type="dxa" w:w="1050"/>
            <w:shd w:fill="F4EFFA" w:val="clear"/>
            <w:tcMar>
              <w:top w:type="dxa" w:w="80"/>
              <w:left w:type="dxa" w:w="110"/>
              <w:bottom w:type="dxa" w:w="80"/>
              <w:right w:type="dxa" w:w="110"/>
            </w:tcMar>
          </w:tcPr>
          <w:p>
            <w:pPr>
              <w:spacing w:after="0"/>
            </w:pPr>
            <w:r>
              <w:rPr>
                <w:b w:val="false"/>
                <w:bCs w:val="false"/>
                <w:color w:val="000000"/>
                <w:sz w:val="17"/>
                <w:szCs w:val="17"/>
              </w:rPr>
              <w:t xml:space="preserve">Pt2</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post</w:t>
            </w:r>
          </w:p>
        </w:tc>
        <w:tc>
          <w:tcPr>
            <w:tcW w:type="dxa" w:w="1600"/>
            <w:shd w:fill="F4EFFA" w:val="clear"/>
            <w:tcMar>
              <w:top w:type="dxa" w:w="80"/>
              <w:left w:type="dxa" w:w="110"/>
              <w:bottom w:type="dxa" w:w="80"/>
              <w:right w:type="dxa" w:w="110"/>
            </w:tcMar>
          </w:tcPr>
          <w:p>
            <w:pPr>
              <w:spacing w:after="0"/>
            </w:pPr>
            <w:r>
              <w:rPr>
                <w:b w:val="false"/>
                <w:bCs w:val="false"/>
                <w:color w:val="000000"/>
                <w:sz w:val="17"/>
                <w:szCs w:val="17"/>
              </w:rPr>
              <w:t xml:space="preserve">SRX2199850</w:t>
            </w:r>
          </w:p>
        </w:tc>
        <w:tc>
          <w:tcPr>
            <w:tcW w:type="dxa" w:w="2210"/>
            <w:shd w:fill="F4EFFA" w:val="clear"/>
            <w:tcMar>
              <w:top w:type="dxa" w:w="80"/>
              <w:left w:type="dxa" w:w="110"/>
              <w:bottom w:type="dxa" w:w="80"/>
              <w:right w:type="dxa" w:w="110"/>
            </w:tcMar>
          </w:tcPr>
          <w:p>
            <w:pPr>
              <w:spacing w:after="0"/>
            </w:pPr>
            <w:r>
              <w:rPr>
                <w:b w:val="false"/>
                <w:bCs w:val="false"/>
                <w:color w:val="000000"/>
                <w:sz w:val="17"/>
                <w:szCs w:val="17"/>
              </w:rPr>
              <w:t xml:space="preserve">9,976,642</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7"/>
                <w:szCs w:val="17"/>
              </w:rPr>
              <w:t xml:space="preserve">GSM2332525</w:t>
            </w:r>
          </w:p>
        </w:tc>
        <w:tc>
          <w:tcPr>
            <w:tcW w:type="dxa" w:w="1200"/>
            <w:tcMar>
              <w:top w:type="dxa" w:w="80"/>
              <w:left w:type="dxa" w:w="110"/>
              <w:bottom w:type="dxa" w:w="80"/>
              <w:right w:type="dxa" w:w="110"/>
            </w:tcMar>
          </w:tcPr>
          <w:p>
            <w:pPr>
              <w:spacing w:after="0"/>
            </w:pPr>
            <w:r>
              <w:rPr>
                <w:b w:val="false"/>
                <w:bCs w:val="false"/>
                <w:color w:val="000000"/>
                <w:sz w:val="17"/>
                <w:szCs w:val="17"/>
              </w:rPr>
              <w:t xml:space="preserve">Pt6Bx1</w:t>
            </w:r>
          </w:p>
        </w:tc>
        <w:tc>
          <w:tcPr>
            <w:tcW w:type="dxa" w:w="1050"/>
            <w:tcMar>
              <w:top w:type="dxa" w:w="80"/>
              <w:left w:type="dxa" w:w="110"/>
              <w:bottom w:type="dxa" w:w="80"/>
              <w:right w:type="dxa" w:w="110"/>
            </w:tcMar>
          </w:tcPr>
          <w:p>
            <w:pPr>
              <w:spacing w:after="0"/>
            </w:pPr>
            <w:r>
              <w:rPr>
                <w:b w:val="false"/>
                <w:bCs w:val="false"/>
                <w:color w:val="000000"/>
                <w:sz w:val="17"/>
                <w:szCs w:val="17"/>
              </w:rPr>
              <w:t xml:space="preserve">Pt6</w:t>
            </w:r>
          </w:p>
        </w:tc>
        <w:tc>
          <w:tcPr>
            <w:tcW w:type="dxa" w:w="900"/>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tcMar>
              <w:top w:type="dxa" w:w="80"/>
              <w:left w:type="dxa" w:w="110"/>
              <w:bottom w:type="dxa" w:w="80"/>
              <w:right w:type="dxa" w:w="110"/>
            </w:tcMar>
          </w:tcPr>
          <w:p>
            <w:pPr>
              <w:spacing w:after="0"/>
            </w:pPr>
            <w:r>
              <w:rPr>
                <w:b w:val="false"/>
                <w:bCs w:val="false"/>
                <w:color w:val="000000"/>
                <w:sz w:val="17"/>
                <w:szCs w:val="17"/>
              </w:rPr>
              <w:t xml:space="preserve">pre</w:t>
            </w:r>
          </w:p>
        </w:tc>
        <w:tc>
          <w:tcPr>
            <w:tcW w:type="dxa" w:w="1600"/>
            <w:tcMar>
              <w:top w:type="dxa" w:w="80"/>
              <w:left w:type="dxa" w:w="110"/>
              <w:bottom w:type="dxa" w:w="80"/>
              <w:right w:type="dxa" w:w="110"/>
            </w:tcMar>
          </w:tcPr>
          <w:p>
            <w:pPr>
              <w:spacing w:after="0"/>
            </w:pPr>
            <w:r>
              <w:rPr>
                <w:b w:val="false"/>
                <w:bCs w:val="false"/>
                <w:color w:val="000000"/>
                <w:sz w:val="17"/>
                <w:szCs w:val="17"/>
              </w:rPr>
              <w:t xml:space="preserve">SRX2199851</w:t>
            </w:r>
          </w:p>
        </w:tc>
        <w:tc>
          <w:tcPr>
            <w:tcW w:type="dxa" w:w="2210"/>
            <w:tcMar>
              <w:top w:type="dxa" w:w="80"/>
              <w:left w:type="dxa" w:w="110"/>
              <w:bottom w:type="dxa" w:w="80"/>
              <w:right w:type="dxa" w:w="110"/>
            </w:tcMar>
          </w:tcPr>
          <w:p>
            <w:pPr>
              <w:spacing w:after="0"/>
            </w:pPr>
            <w:r>
              <w:rPr>
                <w:b w:val="false"/>
                <w:bCs w:val="false"/>
                <w:color w:val="000000"/>
                <w:sz w:val="17"/>
                <w:szCs w:val="17"/>
              </w:rPr>
              <w:t xml:space="preserve">9,539,361</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7"/>
                <w:szCs w:val="17"/>
              </w:rPr>
              <w:t xml:space="preserve">GSM2332526</w:t>
            </w:r>
          </w:p>
        </w:tc>
        <w:tc>
          <w:tcPr>
            <w:tcW w:type="dxa" w:w="1200"/>
            <w:shd w:fill="F4EFFA" w:val="clear"/>
            <w:tcMar>
              <w:top w:type="dxa" w:w="80"/>
              <w:left w:type="dxa" w:w="110"/>
              <w:bottom w:type="dxa" w:w="80"/>
              <w:right w:type="dxa" w:w="110"/>
            </w:tcMar>
          </w:tcPr>
          <w:p>
            <w:pPr>
              <w:spacing w:after="0"/>
            </w:pPr>
            <w:r>
              <w:rPr>
                <w:b w:val="false"/>
                <w:bCs w:val="false"/>
                <w:color w:val="000000"/>
                <w:sz w:val="17"/>
                <w:szCs w:val="17"/>
              </w:rPr>
              <w:t xml:space="preserve">Pt6Bx2</w:t>
            </w:r>
          </w:p>
        </w:tc>
        <w:tc>
          <w:tcPr>
            <w:tcW w:type="dxa" w:w="1050"/>
            <w:shd w:fill="F4EFFA" w:val="clear"/>
            <w:tcMar>
              <w:top w:type="dxa" w:w="80"/>
              <w:left w:type="dxa" w:w="110"/>
              <w:bottom w:type="dxa" w:w="80"/>
              <w:right w:type="dxa" w:w="110"/>
            </w:tcMar>
          </w:tcPr>
          <w:p>
            <w:pPr>
              <w:spacing w:after="0"/>
            </w:pPr>
            <w:r>
              <w:rPr>
                <w:b w:val="false"/>
                <w:bCs w:val="false"/>
                <w:color w:val="000000"/>
                <w:sz w:val="17"/>
                <w:szCs w:val="17"/>
              </w:rPr>
              <w:t xml:space="preserve">Pt6</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post</w:t>
            </w:r>
          </w:p>
        </w:tc>
        <w:tc>
          <w:tcPr>
            <w:tcW w:type="dxa" w:w="1600"/>
            <w:shd w:fill="F4EFFA" w:val="clear"/>
            <w:tcMar>
              <w:top w:type="dxa" w:w="80"/>
              <w:left w:type="dxa" w:w="110"/>
              <w:bottom w:type="dxa" w:w="80"/>
              <w:right w:type="dxa" w:w="110"/>
            </w:tcMar>
          </w:tcPr>
          <w:p>
            <w:pPr>
              <w:spacing w:after="0"/>
            </w:pPr>
            <w:r>
              <w:rPr>
                <w:b w:val="false"/>
                <w:bCs w:val="false"/>
                <w:color w:val="000000"/>
                <w:sz w:val="17"/>
                <w:szCs w:val="17"/>
              </w:rPr>
              <w:t xml:space="preserve">SRX2199852</w:t>
            </w:r>
          </w:p>
        </w:tc>
        <w:tc>
          <w:tcPr>
            <w:tcW w:type="dxa" w:w="2210"/>
            <w:shd w:fill="F4EFFA" w:val="clear"/>
            <w:tcMar>
              <w:top w:type="dxa" w:w="80"/>
              <w:left w:type="dxa" w:w="110"/>
              <w:bottom w:type="dxa" w:w="80"/>
              <w:right w:type="dxa" w:w="110"/>
            </w:tcMar>
          </w:tcPr>
          <w:p>
            <w:pPr>
              <w:spacing w:after="0"/>
            </w:pPr>
            <w:r>
              <w:rPr>
                <w:b w:val="false"/>
                <w:bCs w:val="false"/>
                <w:color w:val="000000"/>
                <w:sz w:val="17"/>
                <w:szCs w:val="17"/>
              </w:rPr>
              <w:t xml:space="preserve">9,628,568</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7"/>
                <w:szCs w:val="17"/>
              </w:rPr>
              <w:t xml:space="preserve">GSM2332527</w:t>
            </w:r>
          </w:p>
        </w:tc>
        <w:tc>
          <w:tcPr>
            <w:tcW w:type="dxa" w:w="1200"/>
            <w:tcMar>
              <w:top w:type="dxa" w:w="80"/>
              <w:left w:type="dxa" w:w="110"/>
              <w:bottom w:type="dxa" w:w="80"/>
              <w:right w:type="dxa" w:w="110"/>
            </w:tcMar>
          </w:tcPr>
          <w:p>
            <w:pPr>
              <w:spacing w:after="0"/>
            </w:pPr>
            <w:r>
              <w:rPr>
                <w:b w:val="false"/>
                <w:bCs w:val="false"/>
                <w:color w:val="000000"/>
                <w:sz w:val="17"/>
                <w:szCs w:val="17"/>
              </w:rPr>
              <w:t xml:space="preserve">Pt8Bx1</w:t>
            </w:r>
          </w:p>
        </w:tc>
        <w:tc>
          <w:tcPr>
            <w:tcW w:type="dxa" w:w="1050"/>
            <w:tcMar>
              <w:top w:type="dxa" w:w="80"/>
              <w:left w:type="dxa" w:w="110"/>
              <w:bottom w:type="dxa" w:w="80"/>
              <w:right w:type="dxa" w:w="110"/>
            </w:tcMar>
          </w:tcPr>
          <w:p>
            <w:pPr>
              <w:spacing w:after="0"/>
            </w:pPr>
            <w:r>
              <w:rPr>
                <w:b w:val="false"/>
                <w:bCs w:val="false"/>
                <w:color w:val="000000"/>
                <w:sz w:val="17"/>
                <w:szCs w:val="17"/>
              </w:rPr>
              <w:t xml:space="preserve">Pt8</w:t>
            </w:r>
          </w:p>
        </w:tc>
        <w:tc>
          <w:tcPr>
            <w:tcW w:type="dxa" w:w="900"/>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tcMar>
              <w:top w:type="dxa" w:w="80"/>
              <w:left w:type="dxa" w:w="110"/>
              <w:bottom w:type="dxa" w:w="80"/>
              <w:right w:type="dxa" w:w="110"/>
            </w:tcMar>
          </w:tcPr>
          <w:p>
            <w:pPr>
              <w:spacing w:after="0"/>
            </w:pPr>
            <w:r>
              <w:rPr>
                <w:b w:val="false"/>
                <w:bCs w:val="false"/>
                <w:color w:val="000000"/>
                <w:sz w:val="17"/>
                <w:szCs w:val="17"/>
              </w:rPr>
              <w:t xml:space="preserve">pre</w:t>
            </w:r>
          </w:p>
        </w:tc>
        <w:tc>
          <w:tcPr>
            <w:tcW w:type="dxa" w:w="1600"/>
            <w:tcMar>
              <w:top w:type="dxa" w:w="80"/>
              <w:left w:type="dxa" w:w="110"/>
              <w:bottom w:type="dxa" w:w="80"/>
              <w:right w:type="dxa" w:w="110"/>
            </w:tcMar>
          </w:tcPr>
          <w:p>
            <w:pPr>
              <w:spacing w:after="0"/>
            </w:pPr>
            <w:r>
              <w:rPr>
                <w:b w:val="false"/>
                <w:bCs w:val="false"/>
                <w:color w:val="000000"/>
                <w:sz w:val="17"/>
                <w:szCs w:val="17"/>
              </w:rPr>
              <w:t xml:space="preserve">SRX2199853</w:t>
            </w:r>
          </w:p>
        </w:tc>
        <w:tc>
          <w:tcPr>
            <w:tcW w:type="dxa" w:w="2210"/>
            <w:tcMar>
              <w:top w:type="dxa" w:w="80"/>
              <w:left w:type="dxa" w:w="110"/>
              <w:bottom w:type="dxa" w:w="80"/>
              <w:right w:type="dxa" w:w="110"/>
            </w:tcMar>
          </w:tcPr>
          <w:p>
            <w:pPr>
              <w:spacing w:after="0"/>
            </w:pPr>
            <w:r>
              <w:rPr>
                <w:b w:val="false"/>
                <w:bCs w:val="false"/>
                <w:color w:val="000000"/>
                <w:sz w:val="17"/>
                <w:szCs w:val="17"/>
              </w:rPr>
              <w:t xml:space="preserve">9,304,681</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7"/>
                <w:szCs w:val="17"/>
              </w:rPr>
              <w:t xml:space="preserve">GSM2332528</w:t>
            </w:r>
          </w:p>
        </w:tc>
        <w:tc>
          <w:tcPr>
            <w:tcW w:type="dxa" w:w="1200"/>
            <w:shd w:fill="F4EFFA" w:val="clear"/>
            <w:tcMar>
              <w:top w:type="dxa" w:w="80"/>
              <w:left w:type="dxa" w:w="110"/>
              <w:bottom w:type="dxa" w:w="80"/>
              <w:right w:type="dxa" w:w="110"/>
            </w:tcMar>
          </w:tcPr>
          <w:p>
            <w:pPr>
              <w:spacing w:after="0"/>
            </w:pPr>
            <w:r>
              <w:rPr>
                <w:b w:val="false"/>
                <w:bCs w:val="false"/>
                <w:color w:val="000000"/>
                <w:sz w:val="17"/>
                <w:szCs w:val="17"/>
              </w:rPr>
              <w:t xml:space="preserve">Pt8Bx2</w:t>
            </w:r>
          </w:p>
        </w:tc>
        <w:tc>
          <w:tcPr>
            <w:tcW w:type="dxa" w:w="1050"/>
            <w:shd w:fill="F4EFFA" w:val="clear"/>
            <w:tcMar>
              <w:top w:type="dxa" w:w="80"/>
              <w:left w:type="dxa" w:w="110"/>
              <w:bottom w:type="dxa" w:w="80"/>
              <w:right w:type="dxa" w:w="110"/>
            </w:tcMar>
          </w:tcPr>
          <w:p>
            <w:pPr>
              <w:spacing w:after="0"/>
            </w:pPr>
            <w:r>
              <w:rPr>
                <w:b w:val="false"/>
                <w:bCs w:val="false"/>
                <w:color w:val="000000"/>
                <w:sz w:val="17"/>
                <w:szCs w:val="17"/>
              </w:rPr>
              <w:t xml:space="preserve">Pt8</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post</w:t>
            </w:r>
          </w:p>
        </w:tc>
        <w:tc>
          <w:tcPr>
            <w:tcW w:type="dxa" w:w="1600"/>
            <w:shd w:fill="F4EFFA" w:val="clear"/>
            <w:tcMar>
              <w:top w:type="dxa" w:w="80"/>
              <w:left w:type="dxa" w:w="110"/>
              <w:bottom w:type="dxa" w:w="80"/>
              <w:right w:type="dxa" w:w="110"/>
            </w:tcMar>
          </w:tcPr>
          <w:p>
            <w:pPr>
              <w:spacing w:after="0"/>
            </w:pPr>
            <w:r>
              <w:rPr>
                <w:b w:val="false"/>
                <w:bCs w:val="false"/>
                <w:color w:val="000000"/>
                <w:sz w:val="17"/>
                <w:szCs w:val="17"/>
              </w:rPr>
              <w:t xml:space="preserve">SRX2199854</w:t>
            </w:r>
          </w:p>
        </w:tc>
        <w:tc>
          <w:tcPr>
            <w:tcW w:type="dxa" w:w="2210"/>
            <w:shd w:fill="F4EFFA" w:val="clear"/>
            <w:tcMar>
              <w:top w:type="dxa" w:w="80"/>
              <w:left w:type="dxa" w:w="110"/>
              <w:bottom w:type="dxa" w:w="80"/>
              <w:right w:type="dxa" w:w="110"/>
            </w:tcMar>
          </w:tcPr>
          <w:p>
            <w:pPr>
              <w:spacing w:after="0"/>
            </w:pPr>
            <w:r>
              <w:rPr>
                <w:b w:val="false"/>
                <w:bCs w:val="false"/>
                <w:color w:val="000000"/>
                <w:sz w:val="17"/>
                <w:szCs w:val="17"/>
              </w:rPr>
              <w:t xml:space="preserve">8,400,651</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7"/>
                <w:szCs w:val="17"/>
              </w:rPr>
              <w:t xml:space="preserve">GSM2332529</w:t>
            </w:r>
          </w:p>
        </w:tc>
        <w:tc>
          <w:tcPr>
            <w:tcW w:type="dxa" w:w="1200"/>
            <w:tcMar>
              <w:top w:type="dxa" w:w="80"/>
              <w:left w:type="dxa" w:w="110"/>
              <w:bottom w:type="dxa" w:w="80"/>
              <w:right w:type="dxa" w:w="110"/>
            </w:tcMar>
          </w:tcPr>
          <w:p>
            <w:pPr>
              <w:spacing w:after="0"/>
            </w:pPr>
            <w:r>
              <w:rPr>
                <w:b w:val="false"/>
                <w:bCs w:val="false"/>
                <w:color w:val="000000"/>
                <w:sz w:val="17"/>
                <w:szCs w:val="17"/>
              </w:rPr>
              <w:t xml:space="preserve">Pt9Bx1</w:t>
            </w:r>
          </w:p>
        </w:tc>
        <w:tc>
          <w:tcPr>
            <w:tcW w:type="dxa" w:w="1050"/>
            <w:tcMar>
              <w:top w:type="dxa" w:w="80"/>
              <w:left w:type="dxa" w:w="110"/>
              <w:bottom w:type="dxa" w:w="80"/>
              <w:right w:type="dxa" w:w="110"/>
            </w:tcMar>
          </w:tcPr>
          <w:p>
            <w:pPr>
              <w:spacing w:after="0"/>
            </w:pPr>
            <w:r>
              <w:rPr>
                <w:b w:val="false"/>
                <w:bCs w:val="false"/>
                <w:color w:val="000000"/>
                <w:sz w:val="17"/>
                <w:szCs w:val="17"/>
              </w:rPr>
              <w:t xml:space="preserve">Pt9</w:t>
            </w:r>
          </w:p>
        </w:tc>
        <w:tc>
          <w:tcPr>
            <w:tcW w:type="dxa" w:w="900"/>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tcMar>
              <w:top w:type="dxa" w:w="80"/>
              <w:left w:type="dxa" w:w="110"/>
              <w:bottom w:type="dxa" w:w="80"/>
              <w:right w:type="dxa" w:w="110"/>
            </w:tcMar>
          </w:tcPr>
          <w:p>
            <w:pPr>
              <w:spacing w:after="0"/>
            </w:pPr>
            <w:r>
              <w:rPr>
                <w:b w:val="false"/>
                <w:bCs w:val="false"/>
                <w:color w:val="000000"/>
                <w:sz w:val="17"/>
                <w:szCs w:val="17"/>
              </w:rPr>
              <w:t xml:space="preserve">pre</w:t>
            </w:r>
          </w:p>
        </w:tc>
        <w:tc>
          <w:tcPr>
            <w:tcW w:type="dxa" w:w="1600"/>
            <w:tcMar>
              <w:top w:type="dxa" w:w="80"/>
              <w:left w:type="dxa" w:w="110"/>
              <w:bottom w:type="dxa" w:w="80"/>
              <w:right w:type="dxa" w:w="110"/>
            </w:tcMar>
          </w:tcPr>
          <w:p>
            <w:pPr>
              <w:spacing w:after="0"/>
            </w:pPr>
            <w:r>
              <w:rPr>
                <w:b w:val="false"/>
                <w:bCs w:val="false"/>
                <w:color w:val="000000"/>
                <w:sz w:val="17"/>
                <w:szCs w:val="17"/>
              </w:rPr>
              <w:t xml:space="preserve">SRX2199855</w:t>
            </w:r>
          </w:p>
        </w:tc>
        <w:tc>
          <w:tcPr>
            <w:tcW w:type="dxa" w:w="2210"/>
            <w:tcMar>
              <w:top w:type="dxa" w:w="80"/>
              <w:left w:type="dxa" w:w="110"/>
              <w:bottom w:type="dxa" w:w="80"/>
              <w:right w:type="dxa" w:w="110"/>
            </w:tcMar>
          </w:tcPr>
          <w:p>
            <w:pPr>
              <w:spacing w:after="0"/>
            </w:pPr>
            <w:r>
              <w:rPr>
                <w:b w:val="false"/>
                <w:bCs w:val="false"/>
                <w:color w:val="000000"/>
                <w:sz w:val="17"/>
                <w:szCs w:val="17"/>
              </w:rPr>
              <w:t xml:space="preserve">9,021,998</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7"/>
                <w:szCs w:val="17"/>
              </w:rPr>
              <w:t xml:space="preserve">GSM2332530</w:t>
            </w:r>
          </w:p>
        </w:tc>
        <w:tc>
          <w:tcPr>
            <w:tcW w:type="dxa" w:w="1200"/>
            <w:shd w:fill="F4EFFA" w:val="clear"/>
            <w:tcMar>
              <w:top w:type="dxa" w:w="80"/>
              <w:left w:type="dxa" w:w="110"/>
              <w:bottom w:type="dxa" w:w="80"/>
              <w:right w:type="dxa" w:w="110"/>
            </w:tcMar>
          </w:tcPr>
          <w:p>
            <w:pPr>
              <w:spacing w:after="0"/>
            </w:pPr>
            <w:r>
              <w:rPr>
                <w:b w:val="false"/>
                <w:bCs w:val="false"/>
                <w:color w:val="000000"/>
                <w:sz w:val="17"/>
                <w:szCs w:val="17"/>
              </w:rPr>
              <w:t xml:space="preserve">Pt9Bx2</w:t>
            </w:r>
          </w:p>
        </w:tc>
        <w:tc>
          <w:tcPr>
            <w:tcW w:type="dxa" w:w="1050"/>
            <w:shd w:fill="F4EFFA" w:val="clear"/>
            <w:tcMar>
              <w:top w:type="dxa" w:w="80"/>
              <w:left w:type="dxa" w:w="110"/>
              <w:bottom w:type="dxa" w:w="80"/>
              <w:right w:type="dxa" w:w="110"/>
            </w:tcMar>
          </w:tcPr>
          <w:p>
            <w:pPr>
              <w:spacing w:after="0"/>
            </w:pPr>
            <w:r>
              <w:rPr>
                <w:b w:val="false"/>
                <w:bCs w:val="false"/>
                <w:color w:val="000000"/>
                <w:sz w:val="17"/>
                <w:szCs w:val="17"/>
              </w:rPr>
              <w:t xml:space="preserve">Pt9</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post</w:t>
            </w:r>
          </w:p>
        </w:tc>
        <w:tc>
          <w:tcPr>
            <w:tcW w:type="dxa" w:w="1600"/>
            <w:shd w:fill="F4EFFA" w:val="clear"/>
            <w:tcMar>
              <w:top w:type="dxa" w:w="80"/>
              <w:left w:type="dxa" w:w="110"/>
              <w:bottom w:type="dxa" w:w="80"/>
              <w:right w:type="dxa" w:w="110"/>
            </w:tcMar>
          </w:tcPr>
          <w:p>
            <w:pPr>
              <w:spacing w:after="0"/>
            </w:pPr>
            <w:r>
              <w:rPr>
                <w:b w:val="false"/>
                <w:bCs w:val="false"/>
                <w:color w:val="000000"/>
                <w:sz w:val="17"/>
                <w:szCs w:val="17"/>
              </w:rPr>
              <w:t xml:space="preserve">SRX2199856</w:t>
            </w:r>
          </w:p>
        </w:tc>
        <w:tc>
          <w:tcPr>
            <w:tcW w:type="dxa" w:w="2210"/>
            <w:shd w:fill="F4EFFA" w:val="clear"/>
            <w:tcMar>
              <w:top w:type="dxa" w:w="80"/>
              <w:left w:type="dxa" w:w="110"/>
              <w:bottom w:type="dxa" w:w="80"/>
              <w:right w:type="dxa" w:w="110"/>
            </w:tcMar>
          </w:tcPr>
          <w:p>
            <w:pPr>
              <w:spacing w:after="0"/>
            </w:pPr>
            <w:r>
              <w:rPr>
                <w:b w:val="false"/>
                <w:bCs w:val="false"/>
                <w:color w:val="000000"/>
                <w:sz w:val="17"/>
                <w:szCs w:val="17"/>
              </w:rPr>
              <w:t xml:space="preserve">9,281,676</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7"/>
                <w:szCs w:val="17"/>
              </w:rPr>
              <w:t xml:space="preserve">GSM2332531</w:t>
            </w:r>
          </w:p>
        </w:tc>
        <w:tc>
          <w:tcPr>
            <w:tcW w:type="dxa" w:w="1200"/>
            <w:tcMar>
              <w:top w:type="dxa" w:w="80"/>
              <w:left w:type="dxa" w:w="110"/>
              <w:bottom w:type="dxa" w:w="80"/>
              <w:right w:type="dxa" w:w="110"/>
            </w:tcMar>
          </w:tcPr>
          <w:p>
            <w:pPr>
              <w:spacing w:after="0"/>
            </w:pPr>
            <w:r>
              <w:rPr>
                <w:b w:val="false"/>
                <w:bCs w:val="false"/>
                <w:color w:val="000000"/>
                <w:sz w:val="17"/>
                <w:szCs w:val="17"/>
              </w:rPr>
              <w:t xml:space="preserve">Pt10Bx1</w:t>
            </w:r>
          </w:p>
        </w:tc>
        <w:tc>
          <w:tcPr>
            <w:tcW w:type="dxa" w:w="1050"/>
            <w:tcMar>
              <w:top w:type="dxa" w:w="80"/>
              <w:left w:type="dxa" w:w="110"/>
              <w:bottom w:type="dxa" w:w="80"/>
              <w:right w:type="dxa" w:w="110"/>
            </w:tcMar>
          </w:tcPr>
          <w:p>
            <w:pPr>
              <w:spacing w:after="0"/>
            </w:pPr>
            <w:r>
              <w:rPr>
                <w:b w:val="false"/>
                <w:bCs w:val="false"/>
                <w:color w:val="000000"/>
                <w:sz w:val="17"/>
                <w:szCs w:val="17"/>
              </w:rPr>
              <w:t xml:space="preserve">Pt10</w:t>
            </w:r>
          </w:p>
        </w:tc>
        <w:tc>
          <w:tcPr>
            <w:tcW w:type="dxa" w:w="900"/>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tcMar>
              <w:top w:type="dxa" w:w="80"/>
              <w:left w:type="dxa" w:w="110"/>
              <w:bottom w:type="dxa" w:w="80"/>
              <w:right w:type="dxa" w:w="110"/>
            </w:tcMar>
          </w:tcPr>
          <w:p>
            <w:pPr>
              <w:spacing w:after="0"/>
            </w:pPr>
            <w:r>
              <w:rPr>
                <w:b w:val="false"/>
                <w:bCs w:val="false"/>
                <w:color w:val="000000"/>
                <w:sz w:val="17"/>
                <w:szCs w:val="17"/>
              </w:rPr>
              <w:t xml:space="preserve">pre</w:t>
            </w:r>
          </w:p>
        </w:tc>
        <w:tc>
          <w:tcPr>
            <w:tcW w:type="dxa" w:w="1600"/>
            <w:tcMar>
              <w:top w:type="dxa" w:w="80"/>
              <w:left w:type="dxa" w:w="110"/>
              <w:bottom w:type="dxa" w:w="80"/>
              <w:right w:type="dxa" w:w="110"/>
            </w:tcMar>
          </w:tcPr>
          <w:p>
            <w:pPr>
              <w:spacing w:after="0"/>
            </w:pPr>
            <w:r>
              <w:rPr>
                <w:b w:val="false"/>
                <w:bCs w:val="false"/>
                <w:color w:val="000000"/>
                <w:sz w:val="17"/>
                <w:szCs w:val="17"/>
              </w:rPr>
              <w:t xml:space="preserve">SRX2199857</w:t>
            </w:r>
          </w:p>
        </w:tc>
        <w:tc>
          <w:tcPr>
            <w:tcW w:type="dxa" w:w="2210"/>
            <w:tcMar>
              <w:top w:type="dxa" w:w="80"/>
              <w:left w:type="dxa" w:w="110"/>
              <w:bottom w:type="dxa" w:w="80"/>
              <w:right w:type="dxa" w:w="110"/>
            </w:tcMar>
          </w:tcPr>
          <w:p>
            <w:pPr>
              <w:spacing w:after="0"/>
            </w:pPr>
            <w:r>
              <w:rPr>
                <w:b w:val="false"/>
                <w:bCs w:val="false"/>
                <w:color w:val="000000"/>
                <w:sz w:val="17"/>
                <w:szCs w:val="17"/>
              </w:rPr>
              <w:t xml:space="preserve">7,119,325</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7"/>
                <w:szCs w:val="17"/>
              </w:rPr>
              <w:t xml:space="preserve">GSM2332532</w:t>
            </w:r>
          </w:p>
        </w:tc>
        <w:tc>
          <w:tcPr>
            <w:tcW w:type="dxa" w:w="1200"/>
            <w:shd w:fill="F4EFFA" w:val="clear"/>
            <w:tcMar>
              <w:top w:type="dxa" w:w="80"/>
              <w:left w:type="dxa" w:w="110"/>
              <w:bottom w:type="dxa" w:w="80"/>
              <w:right w:type="dxa" w:w="110"/>
            </w:tcMar>
          </w:tcPr>
          <w:p>
            <w:pPr>
              <w:spacing w:after="0"/>
            </w:pPr>
            <w:r>
              <w:rPr>
                <w:b w:val="false"/>
                <w:bCs w:val="false"/>
                <w:color w:val="000000"/>
                <w:sz w:val="17"/>
                <w:szCs w:val="17"/>
              </w:rPr>
              <w:t xml:space="preserve">Pt10Bx2</w:t>
            </w:r>
          </w:p>
        </w:tc>
        <w:tc>
          <w:tcPr>
            <w:tcW w:type="dxa" w:w="1050"/>
            <w:shd w:fill="F4EFFA" w:val="clear"/>
            <w:tcMar>
              <w:top w:type="dxa" w:w="80"/>
              <w:left w:type="dxa" w:w="110"/>
              <w:bottom w:type="dxa" w:w="80"/>
              <w:right w:type="dxa" w:w="110"/>
            </w:tcMar>
          </w:tcPr>
          <w:p>
            <w:pPr>
              <w:spacing w:after="0"/>
            </w:pPr>
            <w:r>
              <w:rPr>
                <w:b w:val="false"/>
                <w:bCs w:val="false"/>
                <w:color w:val="000000"/>
                <w:sz w:val="17"/>
                <w:szCs w:val="17"/>
              </w:rPr>
              <w:t xml:space="preserve">Pt10</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post</w:t>
            </w:r>
          </w:p>
        </w:tc>
        <w:tc>
          <w:tcPr>
            <w:tcW w:type="dxa" w:w="1600"/>
            <w:shd w:fill="F4EFFA" w:val="clear"/>
            <w:tcMar>
              <w:top w:type="dxa" w:w="80"/>
              <w:left w:type="dxa" w:w="110"/>
              <w:bottom w:type="dxa" w:w="80"/>
              <w:right w:type="dxa" w:w="110"/>
            </w:tcMar>
          </w:tcPr>
          <w:p>
            <w:pPr>
              <w:spacing w:after="0"/>
            </w:pPr>
            <w:r>
              <w:rPr>
                <w:b w:val="false"/>
                <w:bCs w:val="false"/>
                <w:color w:val="000000"/>
                <w:sz w:val="17"/>
                <w:szCs w:val="17"/>
              </w:rPr>
              <w:t xml:space="preserve">SRX2199858</w:t>
            </w:r>
          </w:p>
        </w:tc>
        <w:tc>
          <w:tcPr>
            <w:tcW w:type="dxa" w:w="2210"/>
            <w:shd w:fill="F4EFFA" w:val="clear"/>
            <w:tcMar>
              <w:top w:type="dxa" w:w="80"/>
              <w:left w:type="dxa" w:w="110"/>
              <w:bottom w:type="dxa" w:w="80"/>
              <w:right w:type="dxa" w:w="110"/>
            </w:tcMar>
          </w:tcPr>
          <w:p>
            <w:pPr>
              <w:spacing w:after="0"/>
            </w:pPr>
            <w:r>
              <w:rPr>
                <w:b w:val="false"/>
                <w:bCs w:val="false"/>
                <w:color w:val="000000"/>
                <w:sz w:val="17"/>
                <w:szCs w:val="17"/>
              </w:rPr>
              <w:t xml:space="preserve">9,533,693</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7"/>
                <w:szCs w:val="17"/>
              </w:rPr>
              <w:t xml:space="preserve">GSM2332533</w:t>
            </w:r>
          </w:p>
        </w:tc>
        <w:tc>
          <w:tcPr>
            <w:tcW w:type="dxa" w:w="1200"/>
            <w:tcMar>
              <w:top w:type="dxa" w:w="80"/>
              <w:left w:type="dxa" w:w="110"/>
              <w:bottom w:type="dxa" w:w="80"/>
              <w:right w:type="dxa" w:w="110"/>
            </w:tcMar>
          </w:tcPr>
          <w:p>
            <w:pPr>
              <w:spacing w:after="0"/>
            </w:pPr>
            <w:r>
              <w:rPr>
                <w:b w:val="false"/>
                <w:bCs w:val="false"/>
                <w:color w:val="000000"/>
                <w:sz w:val="17"/>
                <w:szCs w:val="17"/>
              </w:rPr>
              <w:t xml:space="preserve">Pt12Bx1</w:t>
            </w:r>
          </w:p>
        </w:tc>
        <w:tc>
          <w:tcPr>
            <w:tcW w:type="dxa" w:w="1050"/>
            <w:tcMar>
              <w:top w:type="dxa" w:w="80"/>
              <w:left w:type="dxa" w:w="110"/>
              <w:bottom w:type="dxa" w:w="80"/>
              <w:right w:type="dxa" w:w="110"/>
            </w:tcMar>
          </w:tcPr>
          <w:p>
            <w:pPr>
              <w:spacing w:after="0"/>
            </w:pPr>
            <w:r>
              <w:rPr>
                <w:b w:val="false"/>
                <w:bCs w:val="false"/>
                <w:color w:val="000000"/>
                <w:sz w:val="17"/>
                <w:szCs w:val="17"/>
              </w:rPr>
              <w:t xml:space="preserve">Pt12</w:t>
            </w:r>
          </w:p>
        </w:tc>
        <w:tc>
          <w:tcPr>
            <w:tcW w:type="dxa" w:w="900"/>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tcMar>
              <w:top w:type="dxa" w:w="80"/>
              <w:left w:type="dxa" w:w="110"/>
              <w:bottom w:type="dxa" w:w="80"/>
              <w:right w:type="dxa" w:w="110"/>
            </w:tcMar>
          </w:tcPr>
          <w:p>
            <w:pPr>
              <w:spacing w:after="0"/>
            </w:pPr>
            <w:r>
              <w:rPr>
                <w:b w:val="false"/>
                <w:bCs w:val="false"/>
                <w:color w:val="000000"/>
                <w:sz w:val="17"/>
                <w:szCs w:val="17"/>
              </w:rPr>
              <w:t xml:space="preserve">pre</w:t>
            </w:r>
          </w:p>
        </w:tc>
        <w:tc>
          <w:tcPr>
            <w:tcW w:type="dxa" w:w="1600"/>
            <w:tcMar>
              <w:top w:type="dxa" w:w="80"/>
              <w:left w:type="dxa" w:w="110"/>
              <w:bottom w:type="dxa" w:w="80"/>
              <w:right w:type="dxa" w:w="110"/>
            </w:tcMar>
          </w:tcPr>
          <w:p>
            <w:pPr>
              <w:spacing w:after="0"/>
            </w:pPr>
            <w:r>
              <w:rPr>
                <w:b w:val="false"/>
                <w:bCs w:val="false"/>
                <w:color w:val="000000"/>
                <w:sz w:val="17"/>
                <w:szCs w:val="17"/>
              </w:rPr>
              <w:t xml:space="preserve">SRX2199859</w:t>
            </w:r>
          </w:p>
        </w:tc>
        <w:tc>
          <w:tcPr>
            <w:tcW w:type="dxa" w:w="2210"/>
            <w:tcMar>
              <w:top w:type="dxa" w:w="80"/>
              <w:left w:type="dxa" w:w="110"/>
              <w:bottom w:type="dxa" w:w="80"/>
              <w:right w:type="dxa" w:w="110"/>
            </w:tcMar>
          </w:tcPr>
          <w:p>
            <w:pPr>
              <w:spacing w:after="0"/>
            </w:pPr>
            <w:r>
              <w:rPr>
                <w:b w:val="false"/>
                <w:bCs w:val="false"/>
                <w:color w:val="000000"/>
                <w:sz w:val="17"/>
                <w:szCs w:val="17"/>
              </w:rPr>
              <w:t xml:space="preserve">8,192,677</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7"/>
                <w:szCs w:val="17"/>
              </w:rPr>
              <w:t xml:space="preserve">GSM2332534</w:t>
            </w:r>
          </w:p>
        </w:tc>
        <w:tc>
          <w:tcPr>
            <w:tcW w:type="dxa" w:w="1200"/>
            <w:shd w:fill="F4EFFA" w:val="clear"/>
            <w:tcMar>
              <w:top w:type="dxa" w:w="80"/>
              <w:left w:type="dxa" w:w="110"/>
              <w:bottom w:type="dxa" w:w="80"/>
              <w:right w:type="dxa" w:w="110"/>
            </w:tcMar>
          </w:tcPr>
          <w:p>
            <w:pPr>
              <w:spacing w:after="0"/>
            </w:pPr>
            <w:r>
              <w:rPr>
                <w:b w:val="false"/>
                <w:bCs w:val="false"/>
                <w:color w:val="000000"/>
                <w:sz w:val="17"/>
                <w:szCs w:val="17"/>
              </w:rPr>
              <w:t xml:space="preserve">Pt12Bx2</w:t>
            </w:r>
          </w:p>
        </w:tc>
        <w:tc>
          <w:tcPr>
            <w:tcW w:type="dxa" w:w="1050"/>
            <w:shd w:fill="F4EFFA" w:val="clear"/>
            <w:tcMar>
              <w:top w:type="dxa" w:w="80"/>
              <w:left w:type="dxa" w:w="110"/>
              <w:bottom w:type="dxa" w:w="80"/>
              <w:right w:type="dxa" w:w="110"/>
            </w:tcMar>
          </w:tcPr>
          <w:p>
            <w:pPr>
              <w:spacing w:after="0"/>
            </w:pPr>
            <w:r>
              <w:rPr>
                <w:b w:val="false"/>
                <w:bCs w:val="false"/>
                <w:color w:val="000000"/>
                <w:sz w:val="17"/>
                <w:szCs w:val="17"/>
              </w:rPr>
              <w:t xml:space="preserve">Pt12</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IRI+</w:t>
            </w:r>
          </w:p>
        </w:tc>
        <w:tc>
          <w:tcPr>
            <w:tcW w:type="dxa" w:w="900"/>
            <w:shd w:fill="F4EFFA" w:val="clear"/>
            <w:tcMar>
              <w:top w:type="dxa" w:w="80"/>
              <w:left w:type="dxa" w:w="110"/>
              <w:bottom w:type="dxa" w:w="80"/>
              <w:right w:type="dxa" w:w="110"/>
            </w:tcMar>
          </w:tcPr>
          <w:p>
            <w:pPr>
              <w:spacing w:after="0"/>
            </w:pPr>
            <w:r>
              <w:rPr>
                <w:b w:val="false"/>
                <w:bCs w:val="false"/>
                <w:color w:val="000000"/>
                <w:sz w:val="17"/>
                <w:szCs w:val="17"/>
              </w:rPr>
              <w:t xml:space="preserve">post</w:t>
            </w:r>
          </w:p>
        </w:tc>
        <w:tc>
          <w:tcPr>
            <w:tcW w:type="dxa" w:w="1600"/>
            <w:shd w:fill="F4EFFA" w:val="clear"/>
            <w:tcMar>
              <w:top w:type="dxa" w:w="80"/>
              <w:left w:type="dxa" w:w="110"/>
              <w:bottom w:type="dxa" w:w="80"/>
              <w:right w:type="dxa" w:w="110"/>
            </w:tcMar>
          </w:tcPr>
          <w:p>
            <w:pPr>
              <w:spacing w:after="0"/>
            </w:pPr>
            <w:r>
              <w:rPr>
                <w:b w:val="false"/>
                <w:bCs w:val="false"/>
                <w:color w:val="000000"/>
                <w:sz w:val="17"/>
                <w:szCs w:val="17"/>
              </w:rPr>
              <w:t xml:space="preserve">SRX2199860</w:t>
            </w:r>
          </w:p>
        </w:tc>
        <w:tc>
          <w:tcPr>
            <w:tcW w:type="dxa" w:w="2210"/>
            <w:shd w:fill="F4EFFA" w:val="clear"/>
            <w:tcMar>
              <w:top w:type="dxa" w:w="80"/>
              <w:left w:type="dxa" w:w="110"/>
              <w:bottom w:type="dxa" w:w="80"/>
              <w:right w:type="dxa" w:w="110"/>
            </w:tcMar>
          </w:tcPr>
          <w:p>
            <w:pPr>
              <w:spacing w:after="0"/>
            </w:pPr>
            <w:r>
              <w:rPr>
                <w:b w:val="false"/>
                <w:bCs w:val="false"/>
                <w:color w:val="000000"/>
                <w:sz w:val="17"/>
                <w:szCs w:val="17"/>
              </w:rPr>
              <w:t xml:space="preserve">9,155,225</w:t>
            </w:r>
          </w:p>
        </w:tc>
      </w:tr>
    </w:tbl>
    <w:p>
      <w:pPr>
        <w:spacing w:after="80"/>
      </w:pPr>
      <w:r>
        <w:rPr>
          <w:sz w:val="19"/>
          <w:szCs w:val="19"/>
        </w:rPr>
        <w:t xml:space="preserve">Library sizes range from 7,059,456 (OCBx2) to 10,610,420 (RJBx1) assigned reads — a 1.5× spread, well within normal. No sample is a 10× outlier, so no sample is a technical-failure candidate on depth alone.</w:t>
      </w:r>
    </w:p>
    <w:p>
      <w:pPr>
        <w:spacing w:after="120"/>
      </w:pPr>
      <w:r>
        <w:rPr>
          <w:sz w:val="19"/>
          <w:szCs w:val="19"/>
        </w:rPr>
        <w:t xml:space="preserve">Genes detected (count &gt; 0) per sample: 17,676 – 20,268 of 60,498 annotated genes.</w:t>
      </w:r>
    </w:p>
    <w:p>
      <w:pPr>
        <w:pStyle w:val="Heading2"/>
        <w:spacing w:after="120" w:before="240"/>
      </w:pPr>
      <w:r>
        <w:t xml:space="preserve">Part D — The defect this dataset hides</w:t>
      </w:r>
    </w:p>
    <w:p>
      <w:pPr>
        <w:spacing w:after="100"/>
      </w:pPr>
      <w:r>
        <w:t xml:space="preserve">The counts file and the GEO metadata cannot be matched by name or by order. Both fail, and both fail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4A1C75" w:val="clear"/>
            <w:tcMar>
              <w:top w:type="dxa" w:w="80"/>
              <w:left w:type="dxa" w:w="110"/>
              <w:bottom w:type="dxa" w:w="80"/>
              <w:right w:type="dxa" w:w="110"/>
            </w:tcMar>
          </w:tcPr>
          <w:p>
            <w:pPr>
              <w:spacing w:after="0"/>
            </w:pPr>
            <w:r>
              <w:rPr>
                <w:b/>
                <w:bCs/>
                <w:color w:val="FFFFFF"/>
                <w:sz w:val="19"/>
                <w:szCs w:val="19"/>
              </w:rPr>
              <w:t xml:space="preserve">Problem</w:t>
            </w:r>
          </w:p>
        </w:tc>
        <w:tc>
          <w:tcPr>
            <w:tcW w:type="dxa" w:w="7460"/>
            <w:shd w:fill="4A1C75" w:val="clear"/>
            <w:tcMar>
              <w:top w:type="dxa" w:w="80"/>
              <w:left w:type="dxa" w:w="110"/>
              <w:bottom w:type="dxa" w:w="80"/>
              <w:right w:type="dxa" w:w="110"/>
            </w:tcMar>
          </w:tcPr>
          <w:p>
            <w:pPr>
              <w:spacing w:after="0"/>
            </w:pPr>
            <w:r>
              <w:rPr>
                <w:b/>
                <w:bCs/>
                <w:color w:val="FFFFFF"/>
                <w:sz w:val="19"/>
                <w:szCs w:val="19"/>
              </w:rPr>
              <w:t xml:space="preserve">What it looks like</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Order differs</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Counts columns run HBBx1, HBBx2, MJBx1, … , RJBx1, RJBx2 (roughly alphabetical). GSM order runs RJBx1, RJBx2, MJBx1, MJBx2, HBBX1, … Pairing by position assigns RJ's reads to HB.</w:t>
            </w:r>
          </w:p>
        </w:tc>
      </w:tr>
      <w:tr>
        <w:trPr>
          <w:tblHeader w:val="false"/>
        </w:trPr>
        <w:tc>
          <w:tcPr>
            <w:tcW w:type="dxa" w:w="1900"/>
            <w:shd w:fill="F4EFFA" w:val="clear"/>
            <w:tcMar>
              <w:top w:type="dxa" w:w="80"/>
              <w:left w:type="dxa" w:w="110"/>
              <w:bottom w:type="dxa" w:w="80"/>
              <w:right w:type="dxa" w:w="110"/>
            </w:tcMar>
          </w:tcPr>
          <w:p>
            <w:pPr>
              <w:spacing w:after="0"/>
            </w:pPr>
            <w:r>
              <w:rPr>
                <w:b w:val="false"/>
                <w:bCs w:val="false"/>
                <w:color w:val="000000"/>
                <w:sz w:val="19"/>
                <w:szCs w:val="19"/>
              </w:rPr>
              <w:t xml:space="preserve">Spelling differs</w:t>
            </w:r>
          </w:p>
        </w:tc>
        <w:tc>
          <w:tcPr>
            <w:tcW w:type="dxa" w:w="7460"/>
            <w:shd w:fill="F4EFFA" w:val="clear"/>
            <w:tcMar>
              <w:top w:type="dxa" w:w="80"/>
              <w:left w:type="dxa" w:w="110"/>
              <w:bottom w:type="dxa" w:w="80"/>
              <w:right w:type="dxa" w:w="110"/>
            </w:tcMar>
          </w:tcPr>
          <w:p>
            <w:pPr>
              <w:spacing w:after="0"/>
            </w:pPr>
            <w:r>
              <w:rPr>
                <w:b w:val="false"/>
                <w:bCs w:val="false"/>
                <w:color w:val="000000"/>
                <w:sz w:val="19"/>
                <w:szCs w:val="19"/>
              </w:rPr>
              <w:t xml:space="preserve">Counts use a hyphen where GEO does not: "Pt10-Bx1" vs GEO title "Pt10Bx1" (same for Pt2, Pt6, Pt8, Pt9, Pt12). Capitalisation differs too: counts "HBBx1" vs GEO title "HBBX1".</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Column names carry cruft</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Every column is prefixed "Sample_" and suffixed ".bam".</w:t>
            </w:r>
          </w:p>
        </w:tc>
      </w:tr>
    </w:tbl>
    <w:p>
      <w:pPr>
        <w:spacing w:after="100"/>
      </w:pPr>
      <w:r>
        <w:t xml:space="preserve">So the textbook check all(colnames(counts) == rownames(meta)) returns FALSE, and the tempting fix — reordering by sort() or trusting the file order — produces a matrix where 12 of the 20 samples carry another patient's label. Every downstream p-value would be meaningless and nothing would error out.</w:t>
      </w:r>
    </w:p>
    <w:p>
      <w:pPr>
        <w:spacing w:after="100"/>
      </w:pPr>
      <w:r>
        <w:t xml:space="preserve">The fix, in the script below: strip the prefix/suffix, normalise with toupper(gsub("-","",x)), match explicitly through that key, then stopifnot() the result. Fail loudly, not silently.</w:t>
      </w:r>
    </w:p>
    <w:p>
      <w:pPr>
        <w:spacing w:after="100"/>
      </w:pPr>
      <w:r>
        <w:t xml:space="preserve">Filtering decision: keep genes with ≥ 10 counts in ≥ 4 samples. The threshold of 4 is the smallest group size (4 IRI-positive patients), which is the rule the slides give — match the minimum sample count to your smallest group.</w:t>
      </w:r>
    </w:p>
    <w:p>
      <w:pPr>
        <w:pStyle w:val="Heading2"/>
        <w:spacing w:after="120" w:before="240"/>
      </w:pPr>
      <w:r>
        <w:t xml:space="preserve">Part E — QC, PCA and differential expression (executed)</w:t>
      </w:r>
    </w:p>
    <w:p>
      <w:pPr>
        <w:spacing w:after="140"/>
      </w:pPr>
      <w:r>
        <w:t xml:space="preserve">Everything below was produced by running GSE87487_week3.R end to end in R 4.6.1 on Windows 11 (DESeq2 1.52.0, GEOquery 2.80.0, ggplot2 4.0.3). The figures are that script's own output; full versions in logs/session_info.txt.</w:t>
      </w:r>
    </w:p>
    <w:p>
      <w:pPr>
        <w:spacing w:after="80"/>
      </w:pPr>
      <w:r>
        <w:rPr>
          <w:b/>
          <w:bCs/>
        </w:rPr>
        <w:t xml:space="preserve">E1 · Sample-level QC</w:t>
      </w:r>
    </w:p>
    <w:p>
      <w:pPr>
        <w:spacing w:after="60"/>
      </w:pPr>
      <w:r>
        <w:drawing>
          <wp:inline distT="0" distB="0" distL="0" distR="0">
            <wp:extent cx="5048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2800350"/>
                    </a:xfrm>
                    <a:prstGeom prst="rect">
                      <a:avLst/>
                    </a:prstGeom>
                  </pic:spPr>
                </pic:pic>
              </a:graphicData>
            </a:graphic>
          </wp:inline>
        </w:drawing>
      </w:r>
    </w:p>
    <w:p>
      <w:pPr>
        <w:spacing w:after="160"/>
      </w:pPr>
      <w:r>
        <w:rPr>
          <w:color w:val="52514E"/>
          <w:sz w:val="18"/>
          <w:szCs w:val="18"/>
        </w:rPr>
        <w:t xml:space="preserve">Figure 1 — Library size per sample. 7,059,456 (GSM2332522) to 10,610,420 (GSM2332515) assigned reads, a 1.50× spread. DESeq2 size factors span 0.715–1.316 (1.84×). No sample approaches the ~10× shortfall that would mark a technical failure, so none is excluded on depth.</w:t>
      </w:r>
    </w:p>
    <w:p>
      <w:pPr>
        <w:spacing w:after="60"/>
      </w:pPr>
      <w:r>
        <w:drawing>
          <wp:inline distT="0" distB="0" distL="0" distR="0">
            <wp:extent cx="5048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2800350"/>
                    </a:xfrm>
                    <a:prstGeom prst="rect">
                      <a:avLst/>
                    </a:prstGeom>
                  </pic:spPr>
                </pic:pic>
              </a:graphicData>
            </a:graphic>
          </wp:inline>
        </w:drawing>
      </w:r>
    </w:p>
    <w:p>
      <w:pPr>
        <w:spacing w:after="160"/>
      </w:pPr>
      <w:r>
        <w:rPr>
          <w:color w:val="52514E"/>
          <w:sz w:val="18"/>
          <w:szCs w:val="18"/>
        </w:rPr>
        <w:t xml:space="preserve">Figure 2 — Per-sample distribution of log2(count + 1) across the 14,414 retained genes. Boxes and medians align; no sample's distribution is displaced from the bundle, so there is no processing artefact to correct.</w:t>
      </w:r>
    </w:p>
    <w:p>
      <w:pPr>
        <w:spacing w:after="80"/>
      </w:pPr>
      <w:r>
        <w:rPr>
          <w:b/>
          <w:bCs/>
        </w:rPr>
        <w:t xml:space="preserve">E2 · PCA on the variance-stabilised matrix</w:t>
      </w:r>
    </w:p>
    <w:p>
      <w:pPr>
        <w:spacing w:after="100"/>
      </w:pPr>
      <w:r>
        <w:t xml:space="preserve">PC1 explains 39% of variance, PC2 20%. The same PCA is plotted three times — by transplant stage, by IRI status, and by patient — because the diagnosis is the comparison between them.</w:t>
      </w:r>
    </w:p>
    <w:p>
      <w:pPr>
        <w:spacing w:after="60"/>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171825"/>
                    </a:xfrm>
                    <a:prstGeom prst="rect">
                      <a:avLst/>
                    </a:prstGeom>
                  </pic:spPr>
                </pic:pic>
              </a:graphicData>
            </a:graphic>
          </wp:inline>
        </w:drawing>
      </w:r>
    </w:p>
    <w:p>
      <w:pPr>
        <w:spacing w:after="140"/>
      </w:pPr>
      <w:r>
        <w:rPr>
          <w:color w:val="52514E"/>
          <w:sz w:val="18"/>
          <w:szCs w:val="18"/>
        </w:rPr>
        <w:t xml:space="preserve">Figure 3 — Coloured by transplant stage. Pre-reperfusion samples occupy the left of PC1, post-reperfusion the right.</w:t>
      </w:r>
    </w:p>
    <w:p>
      <w:pPr>
        <w:spacing w:after="60"/>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171825"/>
                    </a:xfrm>
                    <a:prstGeom prst="rect">
                      <a:avLst/>
                    </a:prstGeom>
                  </pic:spPr>
                </pic:pic>
              </a:graphicData>
            </a:graphic>
          </wp:inline>
        </w:drawing>
      </w:r>
    </w:p>
    <w:p>
      <w:pPr>
        <w:spacing w:after="140"/>
      </w:pPr>
      <w:r>
        <w:rPr>
          <w:color w:val="52514E"/>
          <w:sz w:val="18"/>
          <w:szCs w:val="18"/>
        </w:rPr>
        <w:t xml:space="preserve">Figure 4 — Coloured by IRI status. No comparable separation.</w:t>
      </w:r>
    </w:p>
    <w:p>
      <w:pPr>
        <w:spacing w:after="60"/>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171825"/>
                    </a:xfrm>
                    <a:prstGeom prst="rect">
                      <a:avLst/>
                    </a:prstGeom>
                  </pic:spPr>
                </pic:pic>
              </a:graphicData>
            </a:graphic>
          </wp:inline>
        </w:drawing>
      </w:r>
    </w:p>
    <w:p>
      <w:pPr>
        <w:spacing w:after="160"/>
      </w:pPr>
      <w:r>
        <w:rPr>
          <w:color w:val="52514E"/>
          <w:sz w:val="18"/>
          <w:szCs w:val="18"/>
        </w:rPr>
        <w:t xml:space="preserve">Figure 5 — Coloured by patient, the only available batch proxy (GEO reports no run date, lane or batch field). The ten patients are interleaved rather than clustered, so PC1 is not individual variation.</w:t>
      </w:r>
    </w:p>
    <w:p>
      <w:pPr>
        <w:spacing w:after="80"/>
      </w:pPr>
      <w:r>
        <w:rPr>
          <w:b/>
          <w:bCs/>
        </w:rPr>
        <w:t xml:space="preserve">What the PCA says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4A1C75" w:val="clear"/>
            <w:tcMar>
              <w:top w:type="dxa" w:w="80"/>
              <w:left w:type="dxa" w:w="110"/>
              <w:bottom w:type="dxa" w:w="80"/>
              <w:right w:type="dxa" w:w="110"/>
            </w:tcMar>
          </w:tcPr>
          <w:p>
            <w:pPr>
              <w:spacing w:after="0"/>
            </w:pPr>
            <w:r>
              <w:rPr>
                <w:b/>
                <w:bCs/>
                <w:color w:val="FFFFFF"/>
                <w:sz w:val="19"/>
                <w:szCs w:val="19"/>
              </w:rPr>
              <w:t xml:space="preserve">Reading</w:t>
            </w:r>
          </w:p>
        </w:tc>
        <w:tc>
          <w:tcPr>
            <w:tcW w:type="dxa" w:w="7460"/>
            <w:shd w:fill="4A1C75" w:val="clear"/>
            <w:tcMar>
              <w:top w:type="dxa" w:w="80"/>
              <w:left w:type="dxa" w:w="110"/>
              <w:bottom w:type="dxa" w:w="80"/>
              <w:right w:type="dxa" w:w="110"/>
            </w:tcMar>
          </w:tcPr>
          <w:p>
            <w:pPr>
              <w:spacing w:after="0"/>
            </w:pPr>
            <w:r>
              <w:rPr>
                <w:b/>
                <w:bCs/>
                <w:color w:val="FFFFFF"/>
                <w:sz w:val="19"/>
                <w:szCs w:val="19"/>
              </w:rPr>
              <w:t xml:space="preserve">Evidence</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PC1 is the reperfusion axis</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Mean PC1 moves from −15.39 (pre) to +15.39 (post). All 10 patients shift in the same direction, by +20.9 to +42.9. Paired t-test on PC1: t = 12.46, df = 9, p = 5.6 × 10⁻⁷.</w:t>
            </w:r>
          </w:p>
        </w:tc>
      </w:tr>
      <w:tr>
        <w:trPr>
          <w:tblHeader w:val="false"/>
        </w:trPr>
        <w:tc>
          <w:tcPr>
            <w:tcW w:type="dxa" w:w="1900"/>
            <w:shd w:fill="F4EFFA" w:val="clear"/>
            <w:tcMar>
              <w:top w:type="dxa" w:w="80"/>
              <w:left w:type="dxa" w:w="110"/>
              <w:bottom w:type="dxa" w:w="80"/>
              <w:right w:type="dxa" w:w="110"/>
            </w:tcMar>
          </w:tcPr>
          <w:p>
            <w:pPr>
              <w:spacing w:after="0"/>
            </w:pPr>
            <w:r>
              <w:rPr>
                <w:b w:val="false"/>
                <w:bCs w:val="false"/>
                <w:color w:val="000000"/>
                <w:sz w:val="19"/>
                <w:szCs w:val="19"/>
              </w:rPr>
              <w:t xml:space="preserve">Biology, not batch</w:t>
            </w:r>
          </w:p>
        </w:tc>
        <w:tc>
          <w:tcPr>
            <w:tcW w:type="dxa" w:w="7460"/>
            <w:shd w:fill="F4EFFA" w:val="clear"/>
            <w:tcMar>
              <w:top w:type="dxa" w:w="80"/>
              <w:left w:type="dxa" w:w="110"/>
              <w:bottom w:type="dxa" w:w="80"/>
              <w:right w:type="dxa" w:w="110"/>
            </w:tcMar>
          </w:tcPr>
          <w:p>
            <w:pPr>
              <w:spacing w:after="0"/>
            </w:pPr>
            <w:r>
              <w:rPr>
                <w:b w:val="false"/>
                <w:bCs w:val="false"/>
                <w:color w:val="000000"/>
                <w:sz w:val="19"/>
                <w:szCs w:val="19"/>
              </w:rPr>
              <w:t xml:space="preserve">Figure 5: patients interleave across PC1 instead of forming per-patient clusters, so the axis tracks the experimental variable, not the individual or a hidden batch. GEO supplies no run date or lane, so patient is the only proxy available — a documented limitation, not a clean bill of health.</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IRI status does NOT separate on PC1</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IRI+ mean +8.79 vs IRI− −5.86, t = 1.43, p = 0.171 — not significant. Nor does the size of the pre→post shift differ by IRI status (+31.7 vs +30.2, p = 0.791). With 4 vs 6 patients this is underpowered, so it is evidence of absence only in the weak sense; the honest statement is that this dataset does not resolve an IRI effect on global expression.</w:t>
            </w:r>
          </w:p>
        </w:tc>
      </w:tr>
      <w:tr>
        <w:trPr>
          <w:tblHeader w:val="false"/>
        </w:trPr>
        <w:tc>
          <w:tcPr>
            <w:tcW w:type="dxa" w:w="1900"/>
            <w:shd w:fill="F4EFFA" w:val="clear"/>
            <w:tcMar>
              <w:top w:type="dxa" w:w="80"/>
              <w:left w:type="dxa" w:w="110"/>
              <w:bottom w:type="dxa" w:w="80"/>
              <w:right w:type="dxa" w:w="110"/>
            </w:tcMar>
          </w:tcPr>
          <w:p>
            <w:pPr>
              <w:spacing w:after="0"/>
            </w:pPr>
            <w:r>
              <w:rPr>
                <w:b w:val="false"/>
                <w:bCs w:val="false"/>
                <w:color w:val="000000"/>
                <w:sz w:val="19"/>
                <w:szCs w:val="19"/>
              </w:rPr>
              <w:t xml:space="preserve">No outlier to exclude</w:t>
            </w:r>
          </w:p>
        </w:tc>
        <w:tc>
          <w:tcPr>
            <w:tcW w:type="dxa" w:w="7460"/>
            <w:shd w:fill="F4EFFA" w:val="clear"/>
            <w:tcMar>
              <w:top w:type="dxa" w:w="80"/>
              <w:left w:type="dxa" w:w="110"/>
              <w:bottom w:type="dxa" w:w="80"/>
              <w:right w:type="dxa" w:w="110"/>
            </w:tcMar>
          </w:tcPr>
          <w:p>
            <w:pPr>
              <w:spacing w:after="0"/>
            </w:pPr>
            <w:r>
              <w:rPr>
                <w:b w:val="false"/>
                <w:bCs w:val="false"/>
                <w:color w:val="000000"/>
                <w:sz w:val="19"/>
                <w:szCs w:val="19"/>
              </w:rPr>
              <w:t xml:space="preserve">No sample sits apart from its group on PC1/PC2, and none is flagged by library size, size factor or distribution. Nothing is removed — exclusions need a documented technical cause, not a tidier plot.</w:t>
            </w:r>
          </w:p>
        </w:tc>
      </w:tr>
    </w:tbl>
    <w:p>
      <w:pPr>
        <w:spacing w:after="80"/>
      </w:pPr>
      <w:r>
        <w:rPr>
          <w:b/>
          <w:bCs/>
        </w:rPr>
        <w:t xml:space="preserve">E3 · Differential expression, post- vs pre-reperfusion</w:t>
      </w:r>
    </w:p>
    <w:p>
      <w:pPr>
        <w:spacing w:after="100"/>
      </w:pPr>
      <w:r>
        <w:t xml:space="preserve">Model: ~ patient + stage on the 14,414 filtered genes. Patient absorbs the within-subject correlation and the unreported donor covariates; the reported contrast is stage_post_vs_pre.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4A1C75" w:val="clear"/>
            <w:tcMar>
              <w:top w:type="dxa" w:w="80"/>
              <w:left w:type="dxa" w:w="110"/>
              <w:bottom w:type="dxa" w:w="80"/>
              <w:right w:type="dxa" w:w="110"/>
            </w:tcMar>
          </w:tcPr>
          <w:p>
            <w:pPr>
              <w:spacing w:after="0"/>
            </w:pPr>
            <w:r>
              <w:rPr>
                <w:b/>
                <w:bCs/>
                <w:color w:val="FFFFFF"/>
                <w:sz w:val="19"/>
                <w:szCs w:val="19"/>
              </w:rPr>
              <w:t xml:space="preserve">Result</w:t>
            </w:r>
          </w:p>
        </w:tc>
        <w:tc>
          <w:tcPr>
            <w:tcW w:type="dxa" w:w="6760"/>
            <w:shd w:fill="4A1C75" w:val="clear"/>
            <w:tcMar>
              <w:top w:type="dxa" w:w="80"/>
              <w:left w:type="dxa" w:w="110"/>
              <w:bottom w:type="dxa" w:w="80"/>
              <w:right w:type="dxa" w:w="110"/>
            </w:tcMar>
          </w:tcPr>
          <w:p>
            <w:pPr>
              <w:spacing w:after="0"/>
            </w:pPr>
            <w:r>
              <w:rPr>
                <w:b/>
                <w:bCs/>
                <w:color w:val="FFFFFF"/>
                <w:sz w:val="19"/>
                <w:szCs w:val="19"/>
              </w:rPr>
              <w:t xml:space="preserve">Value</w:t>
            </w:r>
          </w:p>
        </w:tc>
      </w:tr>
      <w:tr>
        <w:trPr>
          <w:tblHeader w:val="false"/>
        </w:trPr>
        <w:tc>
          <w:tcPr>
            <w:tcW w:type="dxa" w:w="2600"/>
            <w:tcMar>
              <w:top w:type="dxa" w:w="80"/>
              <w:left w:type="dxa" w:w="110"/>
              <w:bottom w:type="dxa" w:w="80"/>
              <w:right w:type="dxa" w:w="110"/>
            </w:tcMar>
          </w:tcPr>
          <w:p>
            <w:pPr>
              <w:spacing w:after="0"/>
            </w:pPr>
            <w:r>
              <w:rPr>
                <w:b w:val="false"/>
                <w:bCs w:val="false"/>
                <w:color w:val="000000"/>
                <w:sz w:val="19"/>
                <w:szCs w:val="19"/>
              </w:rPr>
              <w:t xml:space="preserve">Genes tested</w:t>
            </w:r>
          </w:p>
        </w:tc>
        <w:tc>
          <w:tcPr>
            <w:tcW w:type="dxa" w:w="6760"/>
            <w:tcMar>
              <w:top w:type="dxa" w:w="80"/>
              <w:left w:type="dxa" w:w="110"/>
              <w:bottom w:type="dxa" w:w="80"/>
              <w:right w:type="dxa" w:w="110"/>
            </w:tcMar>
          </w:tcPr>
          <w:p>
            <w:pPr>
              <w:spacing w:after="0"/>
            </w:pPr>
            <w:r>
              <w:rPr>
                <w:b w:val="false"/>
                <w:bCs w:val="false"/>
                <w:color w:val="000000"/>
                <w:sz w:val="19"/>
                <w:szCs w:val="19"/>
              </w:rPr>
              <w:t xml:space="preserve">14,414 (of 60,498 annotated; 76.2% removed by the ≥ 10 counts in ≥ 4 samples filter)</w:t>
            </w:r>
          </w:p>
        </w:tc>
      </w:tr>
      <w:tr>
        <w:trPr>
          <w:tblHeader w:val="false"/>
        </w:trPr>
        <w:tc>
          <w:tcPr>
            <w:tcW w:type="dxa" w:w="2600"/>
            <w:shd w:fill="F4EFFA" w:val="clear"/>
            <w:tcMar>
              <w:top w:type="dxa" w:w="80"/>
              <w:left w:type="dxa" w:w="110"/>
              <w:bottom w:type="dxa" w:w="80"/>
              <w:right w:type="dxa" w:w="110"/>
            </w:tcMar>
          </w:tcPr>
          <w:p>
            <w:pPr>
              <w:spacing w:after="0"/>
            </w:pPr>
            <w:r>
              <w:rPr>
                <w:b w:val="false"/>
                <w:bCs w:val="false"/>
                <w:color w:val="000000"/>
                <w:sz w:val="19"/>
                <w:szCs w:val="19"/>
              </w:rPr>
              <w:t xml:space="preserve">Significant at padj &lt; 0.05</w:t>
            </w:r>
          </w:p>
        </w:tc>
        <w:tc>
          <w:tcPr>
            <w:tcW w:type="dxa" w:w="6760"/>
            <w:shd w:fill="F4EFFA" w:val="clear"/>
            <w:tcMar>
              <w:top w:type="dxa" w:w="80"/>
              <w:left w:type="dxa" w:w="110"/>
              <w:bottom w:type="dxa" w:w="80"/>
              <w:right w:type="dxa" w:w="110"/>
            </w:tcMar>
          </w:tcPr>
          <w:p>
            <w:pPr>
              <w:spacing w:after="0"/>
            </w:pPr>
            <w:r>
              <w:rPr>
                <w:b w:val="false"/>
                <w:bCs w:val="false"/>
                <w:color w:val="000000"/>
                <w:sz w:val="19"/>
                <w:szCs w:val="19"/>
              </w:rPr>
              <w:t xml:space="preserve">4,586 genes — 2,287 up, 2,299 down</w:t>
            </w:r>
          </w:p>
        </w:tc>
      </w:tr>
      <w:tr>
        <w:trPr>
          <w:tblHeader w:val="false"/>
        </w:trPr>
        <w:tc>
          <w:tcPr>
            <w:tcW w:type="dxa" w:w="2600"/>
            <w:tcMar>
              <w:top w:type="dxa" w:w="80"/>
              <w:left w:type="dxa" w:w="110"/>
              <w:bottom w:type="dxa" w:w="80"/>
              <w:right w:type="dxa" w:w="110"/>
            </w:tcMar>
          </w:tcPr>
          <w:p>
            <w:pPr>
              <w:spacing w:after="0"/>
            </w:pPr>
            <w:r>
              <w:rPr>
                <w:b w:val="false"/>
                <w:bCs w:val="false"/>
                <w:color w:val="000000"/>
                <w:sz w:val="19"/>
                <w:szCs w:val="19"/>
              </w:rPr>
              <w:t xml:space="preserve">Also |log2FC| &gt; 1</w:t>
            </w:r>
          </w:p>
        </w:tc>
        <w:tc>
          <w:tcPr>
            <w:tcW w:type="dxa" w:w="6760"/>
            <w:tcMar>
              <w:top w:type="dxa" w:w="80"/>
              <w:left w:type="dxa" w:w="110"/>
              <w:bottom w:type="dxa" w:w="80"/>
              <w:right w:type="dxa" w:w="110"/>
            </w:tcMar>
          </w:tcPr>
          <w:p>
            <w:pPr>
              <w:spacing w:after="0"/>
            </w:pPr>
            <w:r>
              <w:rPr>
                <w:b w:val="false"/>
                <w:bCs w:val="false"/>
                <w:color w:val="000000"/>
                <w:sz w:val="19"/>
                <w:szCs w:val="19"/>
              </w:rPr>
              <w:t xml:space="preserve">1,294 genes</w:t>
            </w:r>
          </w:p>
        </w:tc>
      </w:tr>
      <w:tr>
        <w:trPr>
          <w:tblHeader w:val="false"/>
        </w:trPr>
        <w:tc>
          <w:tcPr>
            <w:tcW w:type="dxa" w:w="2600"/>
            <w:shd w:fill="F4EFFA" w:val="clear"/>
            <w:tcMar>
              <w:top w:type="dxa" w:w="80"/>
              <w:left w:type="dxa" w:w="110"/>
              <w:bottom w:type="dxa" w:w="80"/>
              <w:right w:type="dxa" w:w="110"/>
            </w:tcMar>
          </w:tcPr>
          <w:p>
            <w:pPr>
              <w:spacing w:after="0"/>
            </w:pPr>
            <w:r>
              <w:rPr>
                <w:b w:val="false"/>
                <w:bCs w:val="false"/>
                <w:color w:val="000000"/>
                <w:sz w:val="19"/>
                <w:szCs w:val="19"/>
              </w:rPr>
              <w:t xml:space="preserve">Genes with padj = NA</w:t>
            </w:r>
          </w:p>
        </w:tc>
        <w:tc>
          <w:tcPr>
            <w:tcW w:type="dxa" w:w="6760"/>
            <w:shd w:fill="F4EFFA" w:val="clear"/>
            <w:tcMar>
              <w:top w:type="dxa" w:w="80"/>
              <w:left w:type="dxa" w:w="110"/>
              <w:bottom w:type="dxa" w:w="80"/>
              <w:right w:type="dxa" w:w="110"/>
            </w:tcMar>
          </w:tcPr>
          <w:p>
            <w:pPr>
              <w:spacing w:after="0"/>
            </w:pPr>
            <w:r>
              <w:rPr>
                <w:b w:val="false"/>
                <w:bCs w:val="false"/>
                <w:color w:val="000000"/>
                <w:sz w:val="19"/>
                <w:szCs w:val="19"/>
              </w:rPr>
              <w:t xml:space="preserve">0 (independent filtering removed none after the pre-filter)</w:t>
            </w:r>
          </w:p>
        </w:tc>
      </w:tr>
      <w:tr>
        <w:trPr>
          <w:tblHeader w:val="false"/>
        </w:trPr>
        <w:tc>
          <w:tcPr>
            <w:tcW w:type="dxa" w:w="2600"/>
            <w:tcMar>
              <w:top w:type="dxa" w:w="80"/>
              <w:left w:type="dxa" w:w="110"/>
              <w:bottom w:type="dxa" w:w="80"/>
              <w:right w:type="dxa" w:w="110"/>
            </w:tcMar>
          </w:tcPr>
          <w:p>
            <w:pPr>
              <w:spacing w:after="0"/>
            </w:pPr>
            <w:r>
              <w:rPr>
                <w:b w:val="false"/>
                <w:bCs w:val="false"/>
                <w:color w:val="000000"/>
                <w:sz w:val="19"/>
                <w:szCs w:val="19"/>
              </w:rPr>
              <w:t xml:space="preserve">Strongest by padj</w:t>
            </w:r>
          </w:p>
        </w:tc>
        <w:tc>
          <w:tcPr>
            <w:tcW w:type="dxa" w:w="6760"/>
            <w:tcMar>
              <w:top w:type="dxa" w:w="80"/>
              <w:left w:type="dxa" w:w="110"/>
              <w:bottom w:type="dxa" w:w="80"/>
              <w:right w:type="dxa" w:w="110"/>
            </w:tcMar>
          </w:tcPr>
          <w:p>
            <w:pPr>
              <w:spacing w:after="0"/>
            </w:pPr>
            <w:r>
              <w:rPr>
                <w:b w:val="false"/>
                <w:bCs w:val="false"/>
                <w:color w:val="000000"/>
                <w:sz w:val="19"/>
                <w:szCs w:val="19"/>
              </w:rPr>
              <w:t xml:space="preserve">ENSG00000138166.5 (log2FC +3.56, padj 2.0 × 10⁻⁷⁴), ENSG00000134531.9 (+4.20, 1.7 × 10⁻⁶¹), ENSG00000158859.9 (+4.20, 5.9 × 10⁻⁵⁶)</w:t>
            </w:r>
          </w:p>
        </w:tc>
      </w:tr>
      <w:tr>
        <w:trPr>
          <w:tblHeader w:val="false"/>
        </w:trPr>
        <w:tc>
          <w:tcPr>
            <w:tcW w:type="dxa" w:w="2600"/>
            <w:shd w:fill="F4EFFA" w:val="clear"/>
            <w:tcMar>
              <w:top w:type="dxa" w:w="80"/>
              <w:left w:type="dxa" w:w="110"/>
              <w:bottom w:type="dxa" w:w="80"/>
              <w:right w:type="dxa" w:w="110"/>
            </w:tcMar>
          </w:tcPr>
          <w:p>
            <w:pPr>
              <w:spacing w:after="0"/>
            </w:pPr>
            <w:r>
              <w:rPr>
                <w:b w:val="false"/>
                <w:bCs w:val="false"/>
                <w:color w:val="000000"/>
                <w:sz w:val="19"/>
                <w:szCs w:val="19"/>
              </w:rPr>
              <w:t xml:space="preserve">Largest effect</w:t>
            </w:r>
          </w:p>
        </w:tc>
        <w:tc>
          <w:tcPr>
            <w:tcW w:type="dxa" w:w="6760"/>
            <w:shd w:fill="F4EFFA" w:val="clear"/>
            <w:tcMar>
              <w:top w:type="dxa" w:w="80"/>
              <w:left w:type="dxa" w:w="110"/>
              <w:bottom w:type="dxa" w:w="80"/>
              <w:right w:type="dxa" w:w="110"/>
            </w:tcMar>
          </w:tcPr>
          <w:p>
            <w:pPr>
              <w:spacing w:after="0"/>
            </w:pPr>
            <w:r>
              <w:rPr>
                <w:b w:val="false"/>
                <w:bCs w:val="false"/>
                <w:color w:val="000000"/>
                <w:sz w:val="19"/>
                <w:szCs w:val="19"/>
              </w:rPr>
              <w:t xml:space="preserve">ENSG00000227300.12, log2FC +9.82, padj 9.6 × 10⁻⁴¹</w:t>
            </w:r>
          </w:p>
        </w:tc>
      </w:tr>
    </w:tbl>
    <w:p>
      <w:pPr>
        <w:spacing w:after="100"/>
      </w:pPr>
      <w:r>
        <w:t xml:space="preserve">Scale check: roughly a third of the tested transcriptome moves. That is plausible for reperfusion — an acute, whole-organ insult — and it is consistent with PC1 carrying 39% of variance and every patient shifting the same way. It also means effect size, not p-value, should drive any gene list taken forward; the 1,294 genes passing both thresholds are the defensible set.</w:t>
      </w:r>
    </w:p>
    <w:p>
      <w:pPr>
        <w:spacing w:after="100"/>
      </w:pPr>
      <w:r>
        <w:rPr>
          <w:i/>
          <w:iCs/>
          <w:sz w:val="19"/>
          <w:szCs w:val="19"/>
        </w:rPr>
        <w:t xml:space="preserve">Gene identifiers are left as versioned Ensembl IDs. Mapping them to symbols needs an annotation package (org.Hs.eg.db or biomaRt) pinned to a stated build; no symbols are asserted here without that step. Interpretation of the gene list belongs to Week 4.</w:t>
      </w:r>
    </w:p>
    <w:p>
      <w:pPr>
        <w:spacing w:after="100"/>
      </w:pPr>
      <w:r>
        <w:rPr>
          <w:sz w:val="19"/>
          <w:szCs w:val="19"/>
        </w:rPr>
        <w:t xml:space="preserve">The IRI × stage interaction model (script section 07b) is written but its result is not reported: with 4 versus 6 patients, and with the PCA showing no IRI separation, it would be an underpowered test of an effect this dataset cannot resolve.</w:t>
      </w:r>
    </w:p>
    <w:p>
      <w:pPr>
        <w:pageBreakBefore/>
      </w:pPr>
    </w:p>
    <w:p>
      <w:pPr>
        <w:pStyle w:val="Heading2"/>
        <w:spacing w:after="120" w:before="240"/>
      </w:pPr>
      <w:r>
        <w:t xml:space="preserve">Part F — Dataset triage scorecard</w:t>
      </w:r>
    </w:p>
    <w:p>
      <w:pPr>
        <w:spacing w:after="140"/>
      </w:pPr>
      <w:r>
        <w:t xml:space="preserve">Scored against the six criteria from the Week 3 slides, 0–2 each, with the ≥ 9 of 12 rule. Stated honestly: GSE87487 was named in the assignment rather than chosen by me, so this is a suitability assessment applied to an assigned dataset, not a selection made before downloading. The scoring still decides whether the question has to be narrowed — and here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960"/>
      </w:tblGrid>
      <w:tr>
        <w:trPr>
          <w:tblHeader/>
        </w:trPr>
        <w:tc>
          <w:tcPr>
            <w:tcW w:type="dxa" w:w="1500"/>
            <w:shd w:fill="4A1C75" w:val="clear"/>
            <w:tcMar>
              <w:top w:type="dxa" w:w="80"/>
              <w:left w:type="dxa" w:w="110"/>
              <w:bottom w:type="dxa" w:w="80"/>
              <w:right w:type="dxa" w:w="110"/>
            </w:tcMar>
          </w:tcPr>
          <w:p>
            <w:pPr>
              <w:spacing w:after="0"/>
            </w:pPr>
            <w:r>
              <w:rPr>
                <w:b/>
                <w:bCs/>
                <w:color w:val="FFFFFF"/>
                <w:sz w:val="19"/>
                <w:szCs w:val="19"/>
              </w:rPr>
              <w:t xml:space="preserve">Criterion</w:t>
            </w:r>
          </w:p>
        </w:tc>
        <w:tc>
          <w:tcPr>
            <w:tcW w:type="dxa" w:w="900"/>
            <w:shd w:fill="4A1C75" w:val="clear"/>
            <w:tcMar>
              <w:top w:type="dxa" w:w="80"/>
              <w:left w:type="dxa" w:w="110"/>
              <w:bottom w:type="dxa" w:w="80"/>
              <w:right w:type="dxa" w:w="110"/>
            </w:tcMar>
          </w:tcPr>
          <w:p>
            <w:pPr>
              <w:spacing w:after="0"/>
            </w:pPr>
            <w:r>
              <w:rPr>
                <w:b/>
                <w:bCs/>
                <w:color w:val="FFFFFF"/>
                <w:sz w:val="19"/>
                <w:szCs w:val="19"/>
              </w:rPr>
              <w:t xml:space="preserve">Score</w:t>
            </w:r>
          </w:p>
        </w:tc>
        <w:tc>
          <w:tcPr>
            <w:tcW w:type="dxa" w:w="6960"/>
            <w:shd w:fill="4A1C75" w:val="clear"/>
            <w:tcMar>
              <w:top w:type="dxa" w:w="80"/>
              <w:left w:type="dxa" w:w="110"/>
              <w:bottom w:type="dxa" w:w="80"/>
              <w:right w:type="dxa" w:w="110"/>
            </w:tcMar>
          </w:tcPr>
          <w:p>
            <w:pPr>
              <w:spacing w:after="0"/>
            </w:pPr>
            <w:r>
              <w:rPr>
                <w:b/>
                <w:bCs/>
                <w:color w:val="FFFFFF"/>
                <w:sz w:val="19"/>
                <w:szCs w:val="19"/>
              </w:rPr>
              <w:t xml:space="preserve">Evidence and reasoning</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9"/>
                <w:szCs w:val="19"/>
              </w:rPr>
              <w:t xml:space="preserve">Biological fit</w:t>
            </w:r>
          </w:p>
        </w:tc>
        <w:tc>
          <w:tcPr>
            <w:tcW w:type="dxa" w:w="900"/>
            <w:tcMar>
              <w:top w:type="dxa" w:w="80"/>
              <w:left w:type="dxa" w:w="110"/>
              <w:bottom w:type="dxa" w:w="80"/>
              <w:right w:type="dxa" w:w="110"/>
            </w:tcMar>
          </w:tcPr>
          <w:p>
            <w:pPr>
              <w:spacing w:after="0"/>
            </w:pPr>
            <w:r>
              <w:rPr>
                <w:b w:val="false"/>
                <w:bCs w:val="false"/>
                <w:color w:val="000000"/>
                <w:sz w:val="19"/>
                <w:szCs w:val="19"/>
              </w:rPr>
              <w:t xml:space="preserve">2</w:t>
            </w:r>
          </w:p>
        </w:tc>
        <w:tc>
          <w:tcPr>
            <w:tcW w:type="dxa" w:w="6960"/>
            <w:tcMar>
              <w:top w:type="dxa" w:w="80"/>
              <w:left w:type="dxa" w:w="110"/>
              <w:bottom w:type="dxa" w:w="80"/>
              <w:right w:type="dxa" w:w="110"/>
            </w:tcMar>
          </w:tcPr>
          <w:p>
            <w:pPr>
              <w:spacing w:after="0"/>
            </w:pPr>
            <w:r>
              <w:rPr>
                <w:b w:val="false"/>
                <w:bCs w:val="false"/>
                <w:color w:val="000000"/>
                <w:sz w:val="19"/>
                <w:szCs w:val="19"/>
              </w:rPr>
              <w:t xml:space="preserve">Paired pre- and post-reperfusion biopsies of donor liver allografts, with IRI outcome labelled per patient. This is exactly the design the question needs.</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9"/>
                <w:szCs w:val="19"/>
              </w:rPr>
              <w:t xml:space="preserve">Replication</w:t>
            </w:r>
          </w:p>
        </w:tc>
        <w:tc>
          <w:tcPr>
            <w:tcW w:type="dxa" w:w="900"/>
            <w:shd w:fill="F4EFFA" w:val="clear"/>
            <w:tcMar>
              <w:top w:type="dxa" w:w="80"/>
              <w:left w:type="dxa" w:w="110"/>
              <w:bottom w:type="dxa" w:w="80"/>
              <w:right w:type="dxa" w:w="110"/>
            </w:tcMar>
          </w:tcPr>
          <w:p>
            <w:pPr>
              <w:spacing w:after="0"/>
            </w:pPr>
            <w:r>
              <w:rPr>
                <w:b w:val="false"/>
                <w:bCs w:val="false"/>
                <w:color w:val="000000"/>
                <w:sz w:val="19"/>
                <w:szCs w:val="19"/>
              </w:rPr>
              <w:t xml:space="preserve">1</w:t>
            </w:r>
          </w:p>
        </w:tc>
        <w:tc>
          <w:tcPr>
            <w:tcW w:type="dxa" w:w="6960"/>
            <w:shd w:fill="F4EFFA" w:val="clear"/>
            <w:tcMar>
              <w:top w:type="dxa" w:w="80"/>
              <w:left w:type="dxa" w:w="110"/>
              <w:bottom w:type="dxa" w:w="80"/>
              <w:right w:type="dxa" w:w="110"/>
            </w:tcMar>
          </w:tcPr>
          <w:p>
            <w:pPr>
              <w:spacing w:after="0"/>
            </w:pPr>
            <w:r>
              <w:rPr>
                <w:b w:val="false"/>
                <w:bCs w:val="false"/>
                <w:color w:val="000000"/>
                <w:sz w:val="19"/>
                <w:szCs w:val="19"/>
              </w:rPr>
              <w:t xml:space="preserve">10 patients, 20 samples — adequate for the paired pre→post contrast, thin for the between-group comparison (4 IRI+ vs 6 IRI−). Loses a point for the imbalance, not the total n.</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9"/>
                <w:szCs w:val="19"/>
              </w:rPr>
              <w:t xml:space="preserve">Metadata</w:t>
            </w:r>
          </w:p>
        </w:tc>
        <w:tc>
          <w:tcPr>
            <w:tcW w:type="dxa" w:w="900"/>
            <w:tcMar>
              <w:top w:type="dxa" w:w="80"/>
              <w:left w:type="dxa" w:w="110"/>
              <w:bottom w:type="dxa" w:w="80"/>
              <w:right w:type="dxa" w:w="110"/>
            </w:tcMar>
          </w:tcPr>
          <w:p>
            <w:pPr>
              <w:spacing w:after="0"/>
            </w:pPr>
            <w:r>
              <w:rPr>
                <w:b w:val="false"/>
                <w:bCs w:val="false"/>
                <w:color w:val="000000"/>
                <w:sz w:val="19"/>
                <w:szCs w:val="19"/>
              </w:rPr>
              <w:t xml:space="preserve">1</w:t>
            </w:r>
          </w:p>
        </w:tc>
        <w:tc>
          <w:tcPr>
            <w:tcW w:type="dxa" w:w="6960"/>
            <w:tcMar>
              <w:top w:type="dxa" w:w="80"/>
              <w:left w:type="dxa" w:w="110"/>
              <w:bottom w:type="dxa" w:w="80"/>
              <w:right w:type="dxa" w:w="110"/>
            </w:tcMar>
          </w:tcPr>
          <w:p>
            <w:pPr>
              <w:spacing w:after="0"/>
            </w:pPr>
            <w:r>
              <w:rPr>
                <w:b w:val="false"/>
                <w:bCs w:val="false"/>
                <w:color w:val="000000"/>
                <w:sz w:val="19"/>
                <w:szCs w:val="19"/>
              </w:rPr>
              <w:t xml:space="preserve">Transplant stage, IRI status and tissue are cleanly annotated. Age, sex, cold-ischaemia time, donor type and MELD score are absent, and so is any run date, lane or batch field. Enough to define the contrast, not enough to adjust for the obvious clinical confounders.</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9"/>
                <w:szCs w:val="19"/>
              </w:rPr>
              <w:t xml:space="preserve">Files</w:t>
            </w:r>
          </w:p>
        </w:tc>
        <w:tc>
          <w:tcPr>
            <w:tcW w:type="dxa" w:w="900"/>
            <w:shd w:fill="F4EFFA" w:val="clear"/>
            <w:tcMar>
              <w:top w:type="dxa" w:w="80"/>
              <w:left w:type="dxa" w:w="110"/>
              <w:bottom w:type="dxa" w:w="80"/>
              <w:right w:type="dxa" w:w="110"/>
            </w:tcMar>
          </w:tcPr>
          <w:p>
            <w:pPr>
              <w:spacing w:after="0"/>
            </w:pPr>
            <w:r>
              <w:rPr>
                <w:b w:val="false"/>
                <w:bCs w:val="false"/>
                <w:color w:val="000000"/>
                <w:sz w:val="19"/>
                <w:szCs w:val="19"/>
              </w:rPr>
              <w:t xml:space="preserve">2</w:t>
            </w:r>
          </w:p>
        </w:tc>
        <w:tc>
          <w:tcPr>
            <w:tcW w:type="dxa" w:w="6960"/>
            <w:shd w:fill="F4EFFA" w:val="clear"/>
            <w:tcMar>
              <w:top w:type="dxa" w:w="80"/>
              <w:left w:type="dxa" w:w="110"/>
              <w:bottom w:type="dxa" w:w="80"/>
              <w:right w:type="dxa" w:w="110"/>
            </w:tcMar>
          </w:tcPr>
          <w:p>
            <w:pPr>
              <w:spacing w:after="0"/>
            </w:pPr>
            <w:r>
              <w:rPr>
                <w:b w:val="false"/>
                <w:bCs w:val="false"/>
                <w:color w:val="000000"/>
                <w:sz w:val="19"/>
                <w:szCs w:val="19"/>
              </w:rPr>
              <w:t xml:space="preserve">Raw integer counts supplied as a supplementary file (verified: all 1,209,960 values integer). No TPM-only dead end.</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9"/>
                <w:szCs w:val="19"/>
              </w:rPr>
              <w:t xml:space="preserve">Provenance</w:t>
            </w:r>
          </w:p>
        </w:tc>
        <w:tc>
          <w:tcPr>
            <w:tcW w:type="dxa" w:w="900"/>
            <w:tcMar>
              <w:top w:type="dxa" w:w="80"/>
              <w:left w:type="dxa" w:w="110"/>
              <w:bottom w:type="dxa" w:w="80"/>
              <w:right w:type="dxa" w:w="110"/>
            </w:tcMar>
          </w:tcPr>
          <w:p>
            <w:pPr>
              <w:spacing w:after="0"/>
            </w:pPr>
            <w:r>
              <w:rPr>
                <w:b w:val="false"/>
                <w:bCs w:val="false"/>
                <w:color w:val="000000"/>
                <w:sz w:val="19"/>
                <w:szCs w:val="19"/>
              </w:rPr>
              <w:t xml:space="preserve">2</w:t>
            </w:r>
          </w:p>
        </w:tc>
        <w:tc>
          <w:tcPr>
            <w:tcW w:type="dxa" w:w="6960"/>
            <w:tcMar>
              <w:top w:type="dxa" w:w="80"/>
              <w:left w:type="dxa" w:w="110"/>
              <w:bottom w:type="dxa" w:w="80"/>
              <w:right w:type="dxa" w:w="110"/>
            </w:tcMar>
          </w:tcPr>
          <w:p>
            <w:pPr>
              <w:spacing w:after="0"/>
            </w:pPr>
            <w:r>
              <w:rPr>
                <w:b w:val="false"/>
                <w:bCs w:val="false"/>
                <w:color w:val="000000"/>
                <w:sz w:val="19"/>
                <w:szCs w:val="19"/>
              </w:rPr>
              <w:t xml:space="preserve">Peer-reviewed publication with PMID and DOI; the GEO page states the full pipeline (CASAVA → Cutadapt → STAR/hg38 → featureCounts).</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9"/>
                <w:szCs w:val="19"/>
              </w:rPr>
              <w:t xml:space="preserve">Access</w:t>
            </w:r>
          </w:p>
        </w:tc>
        <w:tc>
          <w:tcPr>
            <w:tcW w:type="dxa" w:w="900"/>
            <w:shd w:fill="F4EFFA" w:val="clear"/>
            <w:tcMar>
              <w:top w:type="dxa" w:w="80"/>
              <w:left w:type="dxa" w:w="110"/>
              <w:bottom w:type="dxa" w:w="80"/>
              <w:right w:type="dxa" w:w="110"/>
            </w:tcMar>
          </w:tcPr>
          <w:p>
            <w:pPr>
              <w:spacing w:after="0"/>
            </w:pPr>
            <w:r>
              <w:rPr>
                <w:b w:val="false"/>
                <w:bCs w:val="false"/>
                <w:color w:val="000000"/>
                <w:sz w:val="19"/>
                <w:szCs w:val="19"/>
              </w:rPr>
              <w:t xml:space="preserve">2</w:t>
            </w:r>
          </w:p>
        </w:tc>
        <w:tc>
          <w:tcPr>
            <w:tcW w:type="dxa" w:w="6960"/>
            <w:shd w:fill="F4EFFA" w:val="clear"/>
            <w:tcMar>
              <w:top w:type="dxa" w:w="80"/>
              <w:left w:type="dxa" w:w="110"/>
              <w:bottom w:type="dxa" w:w="80"/>
              <w:right w:type="dxa" w:w="110"/>
            </w:tcMar>
          </w:tcPr>
          <w:p>
            <w:pPr>
              <w:spacing w:after="0"/>
            </w:pPr>
            <w:r>
              <w:rPr>
                <w:b w:val="false"/>
                <w:bCs w:val="false"/>
                <w:color w:val="000000"/>
                <w:sz w:val="19"/>
                <w:szCs w:val="19"/>
              </w:rPr>
              <w:t xml:space="preserve">Fully open. No dbGaP or controlled-access gate; raw reads also public under SRP090633.</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9"/>
                <w:szCs w:val="19"/>
              </w:rPr>
              <w:t xml:space="preserve">Total</w:t>
            </w:r>
          </w:p>
        </w:tc>
        <w:tc>
          <w:tcPr>
            <w:tcW w:type="dxa" w:w="900"/>
            <w:tcMar>
              <w:top w:type="dxa" w:w="80"/>
              <w:left w:type="dxa" w:w="110"/>
              <w:bottom w:type="dxa" w:w="80"/>
              <w:right w:type="dxa" w:w="110"/>
            </w:tcMar>
          </w:tcPr>
          <w:p>
            <w:pPr>
              <w:spacing w:after="0"/>
            </w:pPr>
            <w:r>
              <w:rPr>
                <w:b w:val="false"/>
                <w:bCs w:val="false"/>
                <w:color w:val="000000"/>
                <w:sz w:val="19"/>
                <w:szCs w:val="19"/>
              </w:rPr>
              <w:t xml:space="preserve">10 / 12</w:t>
            </w:r>
          </w:p>
        </w:tc>
        <w:tc>
          <w:tcPr>
            <w:tcW w:type="dxa" w:w="6960"/>
            <w:tcMar>
              <w:top w:type="dxa" w:w="80"/>
              <w:left w:type="dxa" w:w="110"/>
              <w:bottom w:type="dxa" w:w="80"/>
              <w:right w:type="dxa" w:w="110"/>
            </w:tcMar>
          </w:tcPr>
          <w:p>
            <w:pPr>
              <w:spacing w:after="0"/>
            </w:pPr>
            <w:r>
              <w:rPr>
                <w:b w:val="false"/>
                <w:bCs w:val="false"/>
                <w:color w:val="000000"/>
                <w:sz w:val="19"/>
                <w:szCs w:val="19"/>
              </w:rPr>
              <w:t xml:space="preserve">≥ 9 — proceed, with the question narrowed to what the metadata can honestly support.</w:t>
            </w:r>
          </w:p>
        </w:tc>
      </w:tr>
    </w:tbl>
    <w:p>
      <w:pPr>
        <w:spacing w:after="100"/>
      </w:pPr>
      <w:r>
        <w:t xml:space="preserve">What the two lost points change. Because no clinical covariates are available, the analysis cannot claim to have adjusted for age, sex or ischaemia time — patient in the design formula absorbs them silently but does not let them be reported. And because IRI status is a per-patient property with 4 versus 6 people, the IRI comparison was demoted to exploratory before any test was run, not after seeing the result. Both limitations are recorded here rather than discovered later.</w:t>
      </w:r>
    </w:p>
    <w:p>
      <w:pPr>
        <w:spacing w:after="120"/>
      </w:pPr>
      <w:r>
        <w:rPr>
          <w:sz w:val="19"/>
          <w:szCs w:val="19"/>
        </w:rPr>
        <w:t xml:space="preserve">Red flags checked and cleared: replicates ≥ 3 per group ✓ · group labels unambiguous ✓ · single tissue and single platform ✓ · raw counts present ✓ · batch not confounded with condition (no batch field exists, and patient interleaves on PC1) ✓ · sample IDs matchable — only after explicit normalisation, see Part D ⚠</w:t>
      </w:r>
    </w:p>
    <w:p>
      <w:pPr>
        <w:pageBreakBefore/>
      </w:pPr>
    </w:p>
    <w:p>
      <w:pPr>
        <w:pStyle w:val="Heading2"/>
        <w:spacing w:after="120" w:before="240"/>
      </w:pPr>
      <w:r>
        <w:t xml:space="preserve">Part G — Provenance record</w:t>
      </w:r>
    </w:p>
    <w:p>
      <w:pPr>
        <w:spacing w:after="80"/>
      </w:pPr>
      <w:r>
        <w:rPr>
          <w:b/>
          <w:bCs/>
        </w:rPr>
        <w:t xml:space="preserve">G1 · Provenance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4A1C75" w:val="clear"/>
            <w:tcMar>
              <w:top w:type="dxa" w:w="80"/>
              <w:left w:type="dxa" w:w="110"/>
              <w:bottom w:type="dxa" w:w="80"/>
              <w:right w:type="dxa" w:w="110"/>
            </w:tcMar>
          </w:tcPr>
          <w:p>
            <w:pPr>
              <w:spacing w:after="0"/>
            </w:pPr>
            <w:r>
              <w:rPr>
                <w:b/>
                <w:bCs/>
                <w:color w:val="FFFFFF"/>
                <w:sz w:val="19"/>
                <w:szCs w:val="19"/>
              </w:rPr>
              <w:t xml:space="preserve">Field</w:t>
            </w:r>
          </w:p>
        </w:tc>
        <w:tc>
          <w:tcPr>
            <w:tcW w:type="dxa" w:w="7460"/>
            <w:shd w:fill="4A1C75" w:val="clear"/>
            <w:tcMar>
              <w:top w:type="dxa" w:w="80"/>
              <w:left w:type="dxa" w:w="110"/>
              <w:bottom w:type="dxa" w:w="80"/>
              <w:right w:type="dxa" w:w="110"/>
            </w:tcMar>
          </w:tcPr>
          <w:p>
            <w:pPr>
              <w:spacing w:after="0"/>
            </w:pPr>
            <w:r>
              <w:rPr>
                <w:b/>
                <w:bCs/>
                <w:color w:val="FFFFFF"/>
                <w:sz w:val="19"/>
                <w:szCs w:val="19"/>
              </w:rPr>
              <w:t xml:space="preserve">Value</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Accession</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GSE87487 (BioProject PRJNA344898, SRA SRP090633)</w:t>
            </w:r>
          </w:p>
        </w:tc>
      </w:tr>
      <w:tr>
        <w:trPr>
          <w:tblHeader w:val="false"/>
        </w:trPr>
        <w:tc>
          <w:tcPr>
            <w:tcW w:type="dxa" w:w="1900"/>
            <w:shd w:fill="F4EFFA" w:val="clear"/>
            <w:tcMar>
              <w:top w:type="dxa" w:w="80"/>
              <w:left w:type="dxa" w:w="110"/>
              <w:bottom w:type="dxa" w:w="80"/>
              <w:right w:type="dxa" w:w="110"/>
            </w:tcMar>
          </w:tcPr>
          <w:p>
            <w:pPr>
              <w:spacing w:after="0"/>
            </w:pPr>
            <w:r>
              <w:rPr>
                <w:b w:val="false"/>
                <w:bCs w:val="false"/>
                <w:color w:val="000000"/>
                <w:sz w:val="19"/>
                <w:szCs w:val="19"/>
              </w:rPr>
              <w:t xml:space="preserve">File</w:t>
            </w:r>
          </w:p>
        </w:tc>
        <w:tc>
          <w:tcPr>
            <w:tcW w:type="dxa" w:w="7460"/>
            <w:shd w:fill="F4EFFA" w:val="clear"/>
            <w:tcMar>
              <w:top w:type="dxa" w:w="80"/>
              <w:left w:type="dxa" w:w="110"/>
              <w:bottom w:type="dxa" w:w="80"/>
              <w:right w:type="dxa" w:w="110"/>
            </w:tcMar>
          </w:tcPr>
          <w:p>
            <w:pPr>
              <w:spacing w:after="0"/>
            </w:pPr>
            <w:r>
              <w:rPr>
                <w:b w:val="false"/>
                <w:bCs w:val="false"/>
                <w:color w:val="000000"/>
                <w:sz w:val="19"/>
                <w:szCs w:val="19"/>
              </w:rPr>
              <w:t xml:space="preserve">GSE87487_counts.20samples.txt.gz</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Downloaded</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2026-09-13, from the GEO FTP supplementary directory via GEOquery::getGEOSuppFiles()</w:t>
            </w:r>
          </w:p>
        </w:tc>
      </w:tr>
      <w:tr>
        <w:trPr>
          <w:tblHeader w:val="false"/>
        </w:trPr>
        <w:tc>
          <w:tcPr>
            <w:tcW w:type="dxa" w:w="1900"/>
            <w:shd w:fill="F4EFFA" w:val="clear"/>
            <w:tcMar>
              <w:top w:type="dxa" w:w="80"/>
              <w:left w:type="dxa" w:w="110"/>
              <w:bottom w:type="dxa" w:w="80"/>
              <w:right w:type="dxa" w:w="110"/>
            </w:tcMar>
          </w:tcPr>
          <w:p>
            <w:pPr>
              <w:spacing w:after="0"/>
            </w:pPr>
            <w:r>
              <w:rPr>
                <w:b w:val="false"/>
                <w:bCs w:val="false"/>
                <w:color w:val="000000"/>
                <w:sz w:val="19"/>
                <w:szCs w:val="19"/>
              </w:rPr>
              <w:t xml:space="preserve">Size</w:t>
            </w:r>
          </w:p>
        </w:tc>
        <w:tc>
          <w:tcPr>
            <w:tcW w:type="dxa" w:w="7460"/>
            <w:shd w:fill="F4EFFA" w:val="clear"/>
            <w:tcMar>
              <w:top w:type="dxa" w:w="80"/>
              <w:left w:type="dxa" w:w="110"/>
              <w:bottom w:type="dxa" w:w="80"/>
              <w:right w:type="dxa" w:w="110"/>
            </w:tcMar>
          </w:tcPr>
          <w:p>
            <w:pPr>
              <w:spacing w:after="0"/>
            </w:pPr>
            <w:r>
              <w:rPr>
                <w:b w:val="false"/>
                <w:bCs w:val="false"/>
                <w:color w:val="000000"/>
                <w:sz w:val="19"/>
                <w:szCs w:val="19"/>
              </w:rPr>
              <w:t xml:space="preserve">3,901,096 bytes (3.72 MiB) — matches the 3.7 Mb listed on the GEO page</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MD5</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8efee79167460de2f5d66bead5187d60</w:t>
            </w:r>
          </w:p>
        </w:tc>
      </w:tr>
      <w:tr>
        <w:trPr>
          <w:tblHeader w:val="false"/>
        </w:trPr>
        <w:tc>
          <w:tcPr>
            <w:tcW w:type="dxa" w:w="1900"/>
            <w:shd w:fill="F4EFFA" w:val="clear"/>
            <w:tcMar>
              <w:top w:type="dxa" w:w="80"/>
              <w:left w:type="dxa" w:w="110"/>
              <w:bottom w:type="dxa" w:w="80"/>
              <w:right w:type="dxa" w:w="110"/>
            </w:tcMar>
          </w:tcPr>
          <w:p>
            <w:pPr>
              <w:spacing w:after="0"/>
            </w:pPr>
            <w:r>
              <w:rPr>
                <w:b w:val="false"/>
                <w:bCs w:val="false"/>
                <w:color w:val="000000"/>
                <w:sz w:val="19"/>
                <w:szCs w:val="19"/>
              </w:rPr>
              <w:t xml:space="preserve">SHA-256</w:t>
            </w:r>
          </w:p>
        </w:tc>
        <w:tc>
          <w:tcPr>
            <w:tcW w:type="dxa" w:w="7460"/>
            <w:shd w:fill="F4EFFA" w:val="clear"/>
            <w:tcMar>
              <w:top w:type="dxa" w:w="80"/>
              <w:left w:type="dxa" w:w="110"/>
              <w:bottom w:type="dxa" w:w="80"/>
              <w:right w:type="dxa" w:w="110"/>
            </w:tcMar>
          </w:tcPr>
          <w:p>
            <w:pPr>
              <w:spacing w:after="0"/>
            </w:pPr>
            <w:r>
              <w:rPr>
                <w:b w:val="false"/>
                <w:bCs w:val="false"/>
                <w:color w:val="000000"/>
                <w:sz w:val="19"/>
                <w:szCs w:val="19"/>
              </w:rPr>
              <w:t xml:space="preserve">4c6f748453d909931bc21eed075f854c981aae135250f5e0a5b28f4147b638c0</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Publication</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PMID 27942590 · doi:10.1172/jci.insight.89679</w:t>
            </w:r>
          </w:p>
        </w:tc>
      </w:tr>
      <w:tr>
        <w:trPr>
          <w:tblHeader w:val="false"/>
        </w:trPr>
        <w:tc>
          <w:tcPr>
            <w:tcW w:type="dxa" w:w="1900"/>
            <w:shd w:fill="F4EFFA" w:val="clear"/>
            <w:tcMar>
              <w:top w:type="dxa" w:w="80"/>
              <w:left w:type="dxa" w:w="110"/>
              <w:bottom w:type="dxa" w:w="80"/>
              <w:right w:type="dxa" w:w="110"/>
            </w:tcMar>
          </w:tcPr>
          <w:p>
            <w:pPr>
              <w:spacing w:after="0"/>
            </w:pPr>
            <w:r>
              <w:rPr>
                <w:b w:val="false"/>
                <w:bCs w:val="false"/>
                <w:color w:val="000000"/>
                <w:sz w:val="19"/>
                <w:szCs w:val="19"/>
              </w:rPr>
              <w:t xml:space="preserve">Local path</w:t>
            </w:r>
          </w:p>
        </w:tc>
        <w:tc>
          <w:tcPr>
            <w:tcW w:type="dxa" w:w="7460"/>
            <w:shd w:fill="F4EFFA" w:val="clear"/>
            <w:tcMar>
              <w:top w:type="dxa" w:w="80"/>
              <w:left w:type="dxa" w:w="110"/>
              <w:bottom w:type="dxa" w:w="80"/>
              <w:right w:type="dxa" w:w="110"/>
            </w:tcMar>
          </w:tcPr>
          <w:p>
            <w:pPr>
              <w:spacing w:after="0"/>
            </w:pPr>
            <w:r>
              <w:rPr>
                <w:b w:val="false"/>
                <w:bCs w:val="false"/>
                <w:color w:val="000000"/>
                <w:sz w:val="19"/>
                <w:szCs w:val="19"/>
              </w:rPr>
              <w:t xml:space="preserve">data_raw/GSE87487/</w:t>
            </w:r>
          </w:p>
        </w:tc>
      </w:tr>
      <w:tr>
        <w:trPr>
          <w:tblHeader w:val="false"/>
        </w:trPr>
        <w:tc>
          <w:tcPr>
            <w:tcW w:type="dxa" w:w="1900"/>
            <w:tcMar>
              <w:top w:type="dxa" w:w="80"/>
              <w:left w:type="dxa" w:w="110"/>
              <w:bottom w:type="dxa" w:w="80"/>
              <w:right w:type="dxa" w:w="110"/>
            </w:tcMar>
          </w:tcPr>
          <w:p>
            <w:pPr>
              <w:spacing w:after="0"/>
            </w:pPr>
            <w:r>
              <w:rPr>
                <w:b w:val="false"/>
                <w:bCs w:val="false"/>
                <w:color w:val="000000"/>
                <w:sz w:val="19"/>
                <w:szCs w:val="19"/>
              </w:rPr>
              <w:t xml:space="preserve">Environment</w:t>
            </w:r>
          </w:p>
        </w:tc>
        <w:tc>
          <w:tcPr>
            <w:tcW w:type="dxa" w:w="7460"/>
            <w:tcMar>
              <w:top w:type="dxa" w:w="80"/>
              <w:left w:type="dxa" w:w="110"/>
              <w:bottom w:type="dxa" w:w="80"/>
              <w:right w:type="dxa" w:w="110"/>
            </w:tcMar>
          </w:tcPr>
          <w:p>
            <w:pPr>
              <w:spacing w:after="0"/>
            </w:pPr>
            <w:r>
              <w:rPr>
                <w:b w:val="false"/>
                <w:bCs w:val="false"/>
                <w:color w:val="000000"/>
                <w:sz w:val="19"/>
                <w:szCs w:val="19"/>
              </w:rPr>
              <w:t xml:space="preserve">R 4.6.1 (2026-06-24 ucrt), Windows 11 x64, DESeq2 1.52.0, GEOquery 2.80.0, ggplot2 4.0.3 — full record in logs/session_info.txt</w:t>
            </w:r>
          </w:p>
        </w:tc>
      </w:tr>
    </w:tbl>
    <w:p>
      <w:pPr>
        <w:spacing w:after="80"/>
      </w:pPr>
      <w:r>
        <w:rPr>
          <w:b/>
          <w:bCs/>
        </w:rPr>
        <w:t xml:space="preserve">G2 · Cleaning decisions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350"/>
        <w:gridCol w:w="5260"/>
      </w:tblGrid>
      <w:tr>
        <w:trPr>
          <w:tblHeader/>
        </w:trPr>
        <w:tc>
          <w:tcPr>
            <w:tcW w:type="dxa" w:w="1750"/>
            <w:shd w:fill="4A1C75" w:val="clear"/>
            <w:tcMar>
              <w:top w:type="dxa" w:w="80"/>
              <w:left w:type="dxa" w:w="110"/>
              <w:bottom w:type="dxa" w:w="80"/>
              <w:right w:type="dxa" w:w="110"/>
            </w:tcMar>
          </w:tcPr>
          <w:p>
            <w:pPr>
              <w:spacing w:after="0"/>
            </w:pPr>
            <w:r>
              <w:rPr>
                <w:b/>
                <w:bCs/>
                <w:color w:val="FFFFFF"/>
                <w:sz w:val="19"/>
                <w:szCs w:val="19"/>
              </w:rPr>
              <w:t xml:space="preserve">Decision</w:t>
            </w:r>
          </w:p>
        </w:tc>
        <w:tc>
          <w:tcPr>
            <w:tcW w:type="dxa" w:w="2350"/>
            <w:shd w:fill="4A1C75" w:val="clear"/>
            <w:tcMar>
              <w:top w:type="dxa" w:w="80"/>
              <w:left w:type="dxa" w:w="110"/>
              <w:bottom w:type="dxa" w:w="80"/>
              <w:right w:type="dxa" w:w="110"/>
            </w:tcMar>
          </w:tcPr>
          <w:p>
            <w:pPr>
              <w:spacing w:after="0"/>
            </w:pPr>
            <w:r>
              <w:rPr>
                <w:b/>
                <w:bCs/>
                <w:color w:val="FFFFFF"/>
                <w:sz w:val="19"/>
                <w:szCs w:val="19"/>
              </w:rPr>
              <w:t xml:space="preserve">Value chosen</w:t>
            </w:r>
          </w:p>
        </w:tc>
        <w:tc>
          <w:tcPr>
            <w:tcW w:type="dxa" w:w="5260"/>
            <w:shd w:fill="4A1C75" w:val="clear"/>
            <w:tcMar>
              <w:top w:type="dxa" w:w="80"/>
              <w:left w:type="dxa" w:w="110"/>
              <w:bottom w:type="dxa" w:w="80"/>
              <w:right w:type="dxa" w:w="110"/>
            </w:tcMar>
          </w:tcPr>
          <w:p>
            <w:pPr>
              <w:spacing w:after="0"/>
            </w:pPr>
            <w:r>
              <w:rPr>
                <w:b/>
                <w:bCs/>
                <w:color w:val="FFFFFF"/>
                <w:sz w:val="19"/>
                <w:szCs w:val="19"/>
              </w:rPr>
              <w:t xml:space="preserve">Why</w:t>
            </w:r>
          </w:p>
        </w:tc>
      </w:tr>
      <w:tr>
        <w:trPr>
          <w:tblHeader w:val="false"/>
        </w:trPr>
        <w:tc>
          <w:tcPr>
            <w:tcW w:type="dxa" w:w="1750"/>
            <w:tcMar>
              <w:top w:type="dxa" w:w="80"/>
              <w:left w:type="dxa" w:w="110"/>
              <w:bottom w:type="dxa" w:w="80"/>
              <w:right w:type="dxa" w:w="110"/>
            </w:tcMar>
          </w:tcPr>
          <w:p>
            <w:pPr>
              <w:spacing w:after="0"/>
            </w:pPr>
            <w:r>
              <w:rPr>
                <w:b w:val="false"/>
                <w:bCs w:val="false"/>
                <w:color w:val="000000"/>
                <w:sz w:val="19"/>
                <w:szCs w:val="19"/>
              </w:rPr>
              <w:t xml:space="preserve">Which data layer</w:t>
            </w:r>
          </w:p>
        </w:tc>
        <w:tc>
          <w:tcPr>
            <w:tcW w:type="dxa" w:w="2350"/>
            <w:tcMar>
              <w:top w:type="dxa" w:w="80"/>
              <w:left w:type="dxa" w:w="110"/>
              <w:bottom w:type="dxa" w:w="80"/>
              <w:right w:type="dxa" w:w="110"/>
            </w:tcMar>
          </w:tcPr>
          <w:p>
            <w:pPr>
              <w:spacing w:after="0"/>
            </w:pPr>
            <w:r>
              <w:rPr>
                <w:b w:val="false"/>
                <w:bCs w:val="false"/>
                <w:color w:val="000000"/>
                <w:sz w:val="19"/>
                <w:szCs w:val="19"/>
              </w:rPr>
              <w:t xml:space="preserve">Supplementary raw counts, not the Series Matrix</w:t>
            </w:r>
          </w:p>
        </w:tc>
        <w:tc>
          <w:tcPr>
            <w:tcW w:type="dxa" w:w="5260"/>
            <w:tcMar>
              <w:top w:type="dxa" w:w="80"/>
              <w:left w:type="dxa" w:w="110"/>
              <w:bottom w:type="dxa" w:w="80"/>
              <w:right w:type="dxa" w:w="110"/>
            </w:tcMar>
          </w:tcPr>
          <w:p>
            <w:pPr>
              <w:spacing w:after="0"/>
            </w:pPr>
            <w:r>
              <w:rPr>
                <w:b w:val="false"/>
                <w:bCs w:val="false"/>
                <w:color w:val="000000"/>
                <w:sz w:val="19"/>
                <w:szCs w:val="19"/>
              </w:rPr>
              <w:t xml:space="preserve">DESeq2 needs integers; the Series Matrix carries no usable expression matrix for this Series.</w:t>
            </w:r>
          </w:p>
        </w:tc>
      </w:tr>
      <w:tr>
        <w:trPr>
          <w:tblHeader w:val="false"/>
        </w:trPr>
        <w:tc>
          <w:tcPr>
            <w:tcW w:type="dxa" w:w="1750"/>
            <w:shd w:fill="F4EFFA" w:val="clear"/>
            <w:tcMar>
              <w:top w:type="dxa" w:w="80"/>
              <w:left w:type="dxa" w:w="110"/>
              <w:bottom w:type="dxa" w:w="80"/>
              <w:right w:type="dxa" w:w="110"/>
            </w:tcMar>
          </w:tcPr>
          <w:p>
            <w:pPr>
              <w:spacing w:after="0"/>
            </w:pPr>
            <w:r>
              <w:rPr>
                <w:b w:val="false"/>
                <w:bCs w:val="false"/>
                <w:color w:val="000000"/>
                <w:sz w:val="19"/>
                <w:szCs w:val="19"/>
              </w:rPr>
              <w:t xml:space="preserve">Annotation columns</w:t>
            </w:r>
          </w:p>
        </w:tc>
        <w:tc>
          <w:tcPr>
            <w:tcW w:type="dxa" w:w="2350"/>
            <w:shd w:fill="F4EFFA" w:val="clear"/>
            <w:tcMar>
              <w:top w:type="dxa" w:w="80"/>
              <w:left w:type="dxa" w:w="110"/>
              <w:bottom w:type="dxa" w:w="80"/>
              <w:right w:type="dxa" w:w="110"/>
            </w:tcMar>
          </w:tcPr>
          <w:p>
            <w:pPr>
              <w:spacing w:after="0"/>
            </w:pPr>
            <w:r>
              <w:rPr>
                <w:b w:val="false"/>
                <w:bCs w:val="false"/>
                <w:color w:val="000000"/>
                <w:sz w:val="19"/>
                <w:szCs w:val="19"/>
              </w:rPr>
              <w:t xml:space="preserve">Dropped columns 1–6, kept 7–26</w:t>
            </w:r>
          </w:p>
        </w:tc>
        <w:tc>
          <w:tcPr>
            <w:tcW w:type="dxa" w:w="5260"/>
            <w:shd w:fill="F4EFFA" w:val="clear"/>
            <w:tcMar>
              <w:top w:type="dxa" w:w="80"/>
              <w:left w:type="dxa" w:w="110"/>
              <w:bottom w:type="dxa" w:w="80"/>
              <w:right w:type="dxa" w:w="110"/>
            </w:tcMar>
          </w:tcPr>
          <w:p>
            <w:pPr>
              <w:spacing w:after="0"/>
            </w:pPr>
            <w:r>
              <w:rPr>
                <w:b w:val="false"/>
                <w:bCs w:val="false"/>
                <w:color w:val="000000"/>
                <w:sz w:val="19"/>
                <w:szCs w:val="19"/>
              </w:rPr>
              <w:t xml:space="preserve">The file is unmodified featureCounts output; Chr/Start/End/Strand/Length are not samples.</w:t>
            </w:r>
          </w:p>
        </w:tc>
      </w:tr>
      <w:tr>
        <w:trPr>
          <w:tblHeader w:val="false"/>
        </w:trPr>
        <w:tc>
          <w:tcPr>
            <w:tcW w:type="dxa" w:w="1750"/>
            <w:tcMar>
              <w:top w:type="dxa" w:w="80"/>
              <w:left w:type="dxa" w:w="110"/>
              <w:bottom w:type="dxa" w:w="80"/>
              <w:right w:type="dxa" w:w="110"/>
            </w:tcMar>
          </w:tcPr>
          <w:p>
            <w:pPr>
              <w:spacing w:after="0"/>
            </w:pPr>
            <w:r>
              <w:rPr>
                <w:b w:val="false"/>
                <w:bCs w:val="false"/>
                <w:color w:val="000000"/>
                <w:sz w:val="19"/>
                <w:szCs w:val="19"/>
              </w:rPr>
              <w:t xml:space="preserve">ID matching</w:t>
            </w:r>
          </w:p>
        </w:tc>
        <w:tc>
          <w:tcPr>
            <w:tcW w:type="dxa" w:w="2350"/>
            <w:tcMar>
              <w:top w:type="dxa" w:w="80"/>
              <w:left w:type="dxa" w:w="110"/>
              <w:bottom w:type="dxa" w:w="80"/>
              <w:right w:type="dxa" w:w="110"/>
            </w:tcMar>
          </w:tcPr>
          <w:p>
            <w:pPr>
              <w:spacing w:after="0"/>
            </w:pPr>
            <w:r>
              <w:rPr>
                <w:b w:val="false"/>
                <w:bCs w:val="false"/>
                <w:color w:val="000000"/>
                <w:sz w:val="19"/>
                <w:szCs w:val="19"/>
              </w:rPr>
              <w:t xml:space="preserve">toupper(gsub("-","",x)) then explicit match, guarded by stopifnot()</w:t>
            </w:r>
          </w:p>
        </w:tc>
        <w:tc>
          <w:tcPr>
            <w:tcW w:type="dxa" w:w="5260"/>
            <w:tcMar>
              <w:top w:type="dxa" w:w="80"/>
              <w:left w:type="dxa" w:w="110"/>
              <w:bottom w:type="dxa" w:w="80"/>
              <w:right w:type="dxa" w:w="110"/>
            </w:tcMar>
          </w:tcPr>
          <w:p>
            <w:pPr>
              <w:spacing w:after="0"/>
            </w:pPr>
            <w:r>
              <w:rPr>
                <w:b w:val="false"/>
                <w:bCs w:val="false"/>
                <w:color w:val="000000"/>
                <w:sz w:val="19"/>
                <w:szCs w:val="19"/>
              </w:rPr>
              <w:t xml:space="preserve">Counts columns and GEO titles differ in order AND spelling (Part D). Position-based or sort-based alignment mislabels 12 of 20 samples silently.</w:t>
            </w:r>
          </w:p>
        </w:tc>
      </w:tr>
      <w:tr>
        <w:trPr>
          <w:tblHeader w:val="false"/>
        </w:trPr>
        <w:tc>
          <w:tcPr>
            <w:tcW w:type="dxa" w:w="1750"/>
            <w:shd w:fill="F4EFFA" w:val="clear"/>
            <w:tcMar>
              <w:top w:type="dxa" w:w="80"/>
              <w:left w:type="dxa" w:w="110"/>
              <w:bottom w:type="dxa" w:w="80"/>
              <w:right w:type="dxa" w:w="110"/>
            </w:tcMar>
          </w:tcPr>
          <w:p>
            <w:pPr>
              <w:spacing w:after="0"/>
            </w:pPr>
            <w:r>
              <w:rPr>
                <w:b w:val="false"/>
                <w:bCs w:val="false"/>
                <w:color w:val="000000"/>
                <w:sz w:val="19"/>
                <w:szCs w:val="19"/>
              </w:rPr>
              <w:t xml:space="preserve">Gene filter</w:t>
            </w:r>
          </w:p>
        </w:tc>
        <w:tc>
          <w:tcPr>
            <w:tcW w:type="dxa" w:w="2350"/>
            <w:shd w:fill="F4EFFA" w:val="clear"/>
            <w:tcMar>
              <w:top w:type="dxa" w:w="80"/>
              <w:left w:type="dxa" w:w="110"/>
              <w:bottom w:type="dxa" w:w="80"/>
              <w:right w:type="dxa" w:w="110"/>
            </w:tcMar>
          </w:tcPr>
          <w:p>
            <w:pPr>
              <w:spacing w:after="0"/>
            </w:pPr>
            <w:r>
              <w:rPr>
                <w:b w:val="false"/>
                <w:bCs w:val="false"/>
                <w:color w:val="000000"/>
                <w:sz w:val="19"/>
                <w:szCs w:val="19"/>
              </w:rPr>
              <w:t xml:space="preserve">≥ 10 counts in ≥ 4 samples</w:t>
            </w:r>
          </w:p>
        </w:tc>
        <w:tc>
          <w:tcPr>
            <w:tcW w:type="dxa" w:w="5260"/>
            <w:shd w:fill="F4EFFA" w:val="clear"/>
            <w:tcMar>
              <w:top w:type="dxa" w:w="80"/>
              <w:left w:type="dxa" w:w="110"/>
              <w:bottom w:type="dxa" w:w="80"/>
              <w:right w:type="dxa" w:w="110"/>
            </w:tcMar>
          </w:tcPr>
          <w:p>
            <w:pPr>
              <w:spacing w:after="0"/>
            </w:pPr>
            <w:r>
              <w:rPr>
                <w:b w:val="false"/>
                <w:bCs w:val="false"/>
                <w:color w:val="000000"/>
                <w:sz w:val="19"/>
                <w:szCs w:val="19"/>
              </w:rPr>
              <w:t xml:space="preserve">4 is the smallest group size (4 IRI+ patients). 60,498 → 14,414 genes, 76.2% removed.</w:t>
            </w:r>
          </w:p>
        </w:tc>
      </w:tr>
      <w:tr>
        <w:trPr>
          <w:tblHeader w:val="false"/>
        </w:trPr>
        <w:tc>
          <w:tcPr>
            <w:tcW w:type="dxa" w:w="1750"/>
            <w:tcMar>
              <w:top w:type="dxa" w:w="80"/>
              <w:left w:type="dxa" w:w="110"/>
              <w:bottom w:type="dxa" w:w="80"/>
              <w:right w:type="dxa" w:w="110"/>
            </w:tcMar>
          </w:tcPr>
          <w:p>
            <w:pPr>
              <w:spacing w:after="0"/>
            </w:pPr>
            <w:r>
              <w:rPr>
                <w:b w:val="false"/>
                <w:bCs w:val="false"/>
                <w:color w:val="000000"/>
                <w:sz w:val="19"/>
                <w:szCs w:val="19"/>
              </w:rPr>
              <w:t xml:space="preserve">Design formula</w:t>
            </w:r>
          </w:p>
        </w:tc>
        <w:tc>
          <w:tcPr>
            <w:tcW w:type="dxa" w:w="2350"/>
            <w:tcMar>
              <w:top w:type="dxa" w:w="80"/>
              <w:left w:type="dxa" w:w="110"/>
              <w:bottom w:type="dxa" w:w="80"/>
              <w:right w:type="dxa" w:w="110"/>
            </w:tcMar>
          </w:tcPr>
          <w:p>
            <w:pPr>
              <w:spacing w:after="0"/>
            </w:pPr>
            <w:r>
              <w:rPr>
                <w:b w:val="false"/>
                <w:bCs w:val="false"/>
                <w:color w:val="000000"/>
                <w:sz w:val="19"/>
                <w:szCs w:val="19"/>
              </w:rPr>
              <w:t xml:space="preserve">~ patient + stage</w:t>
            </w:r>
          </w:p>
        </w:tc>
        <w:tc>
          <w:tcPr>
            <w:tcW w:type="dxa" w:w="5260"/>
            <w:tcMar>
              <w:top w:type="dxa" w:w="80"/>
              <w:left w:type="dxa" w:w="110"/>
              <w:bottom w:type="dxa" w:w="80"/>
              <w:right w:type="dxa" w:w="110"/>
            </w:tcMar>
          </w:tcPr>
          <w:p>
            <w:pPr>
              <w:spacing w:after="0"/>
            </w:pPr>
            <w:r>
              <w:rPr>
                <w:b w:val="false"/>
                <w:bCs w:val="false"/>
                <w:color w:val="000000"/>
                <w:sz w:val="19"/>
                <w:szCs w:val="19"/>
              </w:rPr>
              <w:t xml:space="preserve">Two biopsies per patient — samples are not independent. patient also absorbs the unreported clinical covariates.</w:t>
            </w:r>
          </w:p>
        </w:tc>
      </w:tr>
      <w:tr>
        <w:trPr>
          <w:tblHeader w:val="false"/>
        </w:trPr>
        <w:tc>
          <w:tcPr>
            <w:tcW w:type="dxa" w:w="1750"/>
            <w:shd w:fill="F4EFFA" w:val="clear"/>
            <w:tcMar>
              <w:top w:type="dxa" w:w="80"/>
              <w:left w:type="dxa" w:w="110"/>
              <w:bottom w:type="dxa" w:w="80"/>
              <w:right w:type="dxa" w:w="110"/>
            </w:tcMar>
          </w:tcPr>
          <w:p>
            <w:pPr>
              <w:spacing w:after="0"/>
            </w:pPr>
            <w:r>
              <w:rPr>
                <w:b w:val="false"/>
                <w:bCs w:val="false"/>
                <w:color w:val="000000"/>
                <w:sz w:val="19"/>
                <w:szCs w:val="19"/>
              </w:rPr>
              <w:t xml:space="preserve">Interaction model</w:t>
            </w:r>
          </w:p>
        </w:tc>
        <w:tc>
          <w:tcPr>
            <w:tcW w:type="dxa" w:w="2350"/>
            <w:shd w:fill="F4EFFA" w:val="clear"/>
            <w:tcMar>
              <w:top w:type="dxa" w:w="80"/>
              <w:left w:type="dxa" w:w="110"/>
              <w:bottom w:type="dxa" w:w="80"/>
              <w:right w:type="dxa" w:w="110"/>
            </w:tcMar>
          </w:tcPr>
          <w:p>
            <w:pPr>
              <w:spacing w:after="0"/>
            </w:pPr>
            <w:r>
              <w:rPr>
                <w:b w:val="false"/>
                <w:bCs w:val="false"/>
                <w:color w:val="000000"/>
                <w:sz w:val="19"/>
                <w:szCs w:val="19"/>
              </w:rPr>
              <w:t xml:space="preserve">Model matrix built by hand, all-zero and dependent columns dropped, passed via full=</w:t>
            </w:r>
          </w:p>
        </w:tc>
        <w:tc>
          <w:tcPr>
            <w:tcW w:type="dxa" w:w="5260"/>
            <w:shd w:fill="F4EFFA" w:val="clear"/>
            <w:tcMar>
              <w:top w:type="dxa" w:w="80"/>
              <w:left w:type="dxa" w:w="110"/>
              <w:bottom w:type="dxa" w:w="80"/>
              <w:right w:type="dxa" w:w="110"/>
            </w:tcMar>
          </w:tcPr>
          <w:p>
            <w:pPr>
              <w:spacing w:after="0"/>
            </w:pPr>
            <w:r>
              <w:rPr>
                <w:b w:val="false"/>
                <w:bCs w:val="false"/>
                <w:color w:val="000000"/>
                <w:sz w:val="19"/>
                <w:szCs w:val="19"/>
              </w:rPr>
              <w:t xml:space="preserve">~ iri + iri:ind.n + iri:stage is rank-deficient under the unbalanced 4-vs-6 design.</w:t>
            </w:r>
          </w:p>
        </w:tc>
      </w:tr>
      <w:tr>
        <w:trPr>
          <w:tblHeader w:val="false"/>
        </w:trPr>
        <w:tc>
          <w:tcPr>
            <w:tcW w:type="dxa" w:w="1750"/>
            <w:tcMar>
              <w:top w:type="dxa" w:w="80"/>
              <w:left w:type="dxa" w:w="110"/>
              <w:bottom w:type="dxa" w:w="80"/>
              <w:right w:type="dxa" w:w="110"/>
            </w:tcMar>
          </w:tcPr>
          <w:p>
            <w:pPr>
              <w:spacing w:after="0"/>
            </w:pPr>
            <w:r>
              <w:rPr>
                <w:b w:val="false"/>
                <w:bCs w:val="false"/>
                <w:color w:val="000000"/>
                <w:sz w:val="19"/>
                <w:szCs w:val="19"/>
              </w:rPr>
              <w:t xml:space="preserve">Samples excluded</w:t>
            </w:r>
          </w:p>
        </w:tc>
        <w:tc>
          <w:tcPr>
            <w:tcW w:type="dxa" w:w="2350"/>
            <w:tcMar>
              <w:top w:type="dxa" w:w="80"/>
              <w:left w:type="dxa" w:w="110"/>
              <w:bottom w:type="dxa" w:w="80"/>
              <w:right w:type="dxa" w:w="110"/>
            </w:tcMar>
          </w:tcPr>
          <w:p>
            <w:pPr>
              <w:spacing w:after="0"/>
            </w:pPr>
            <w:r>
              <w:rPr>
                <w:b w:val="false"/>
                <w:bCs w:val="false"/>
                <w:color w:val="000000"/>
                <w:sz w:val="19"/>
                <w:szCs w:val="19"/>
              </w:rPr>
              <w:t xml:space="preserve">None</w:t>
            </w:r>
          </w:p>
        </w:tc>
        <w:tc>
          <w:tcPr>
            <w:tcW w:type="dxa" w:w="5260"/>
            <w:tcMar>
              <w:top w:type="dxa" w:w="80"/>
              <w:left w:type="dxa" w:w="110"/>
              <w:bottom w:type="dxa" w:w="80"/>
              <w:right w:type="dxa" w:w="110"/>
            </w:tcMar>
          </w:tcPr>
          <w:p>
            <w:pPr>
              <w:spacing w:after="0"/>
            </w:pPr>
            <w:r>
              <w:rPr>
                <w:b w:val="false"/>
                <w:bCs w:val="false"/>
                <w:color w:val="000000"/>
                <w:sz w:val="19"/>
                <w:szCs w:val="19"/>
              </w:rPr>
              <w:t xml:space="preserve">No sample failed library size, size factor, distribution or PCA position. Exclusion requires a documented technical cause.</w:t>
            </w:r>
          </w:p>
        </w:tc>
      </w:tr>
      <w:tr>
        <w:trPr>
          <w:tblHeader w:val="false"/>
        </w:trPr>
        <w:tc>
          <w:tcPr>
            <w:tcW w:type="dxa" w:w="1750"/>
            <w:shd w:fill="F4EFFA" w:val="clear"/>
            <w:tcMar>
              <w:top w:type="dxa" w:w="80"/>
              <w:left w:type="dxa" w:w="110"/>
              <w:bottom w:type="dxa" w:w="80"/>
              <w:right w:type="dxa" w:w="110"/>
            </w:tcMar>
          </w:tcPr>
          <w:p>
            <w:pPr>
              <w:spacing w:after="0"/>
            </w:pPr>
            <w:r>
              <w:rPr>
                <w:b w:val="false"/>
                <w:bCs w:val="false"/>
                <w:color w:val="000000"/>
                <w:sz w:val="19"/>
                <w:szCs w:val="19"/>
              </w:rPr>
              <w:t xml:space="preserve">Normalisation</w:t>
            </w:r>
          </w:p>
        </w:tc>
        <w:tc>
          <w:tcPr>
            <w:tcW w:type="dxa" w:w="2350"/>
            <w:shd w:fill="F4EFFA" w:val="clear"/>
            <w:tcMar>
              <w:top w:type="dxa" w:w="80"/>
              <w:left w:type="dxa" w:w="110"/>
              <w:bottom w:type="dxa" w:w="80"/>
              <w:right w:type="dxa" w:w="110"/>
            </w:tcMar>
          </w:tcPr>
          <w:p>
            <w:pPr>
              <w:spacing w:after="0"/>
            </w:pPr>
            <w:r>
              <w:rPr>
                <w:b w:val="false"/>
                <w:bCs w:val="false"/>
                <w:color w:val="000000"/>
                <w:sz w:val="19"/>
                <w:szCs w:val="19"/>
              </w:rPr>
              <w:t xml:space="preserve">DESeq2 size factors for testing; VST for PCA and plots</w:t>
            </w:r>
          </w:p>
        </w:tc>
        <w:tc>
          <w:tcPr>
            <w:tcW w:type="dxa" w:w="5260"/>
            <w:shd w:fill="F4EFFA" w:val="clear"/>
            <w:tcMar>
              <w:top w:type="dxa" w:w="80"/>
              <w:left w:type="dxa" w:w="110"/>
              <w:bottom w:type="dxa" w:w="80"/>
              <w:right w:type="dxa" w:w="110"/>
            </w:tcMar>
          </w:tcPr>
          <w:p>
            <w:pPr>
              <w:spacing w:after="0"/>
            </w:pPr>
            <w:r>
              <w:rPr>
                <w:b w:val="false"/>
                <w:bCs w:val="false"/>
                <w:color w:val="000000"/>
                <w:sz w:val="19"/>
                <w:szCs w:val="19"/>
              </w:rPr>
              <w:t xml:space="preserve">Raw counts for statistics, transformed values for visualisation — never swapped.</w:t>
            </w:r>
          </w:p>
        </w:tc>
      </w:tr>
    </w:tbl>
    <w:p>
      <w:pPr>
        <w:spacing w:after="80"/>
      </w:pPr>
      <w:r>
        <w:rPr>
          <w:b/>
          <w:bCs/>
        </w:rPr>
        <w:t xml:space="preserve">G3 · AI use log</w:t>
      </w:r>
    </w:p>
    <w:p>
      <w:pPr>
        <w:spacing w:after="100"/>
      </w:pPr>
      <w:r>
        <w:rPr>
          <w:i/>
          <w:iCs/>
          <w:sz w:val="18"/>
          <w:szCs w:val="18"/>
        </w:rPr>
        <w:t xml:space="preserve">Recorded because the slides require it: prompts and accepted suggestions are part of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shd w:fill="4A1C75" w:val="clear"/>
            <w:tcMar>
              <w:top w:type="dxa" w:w="80"/>
              <w:left w:type="dxa" w:w="110"/>
              <w:bottom w:type="dxa" w:w="80"/>
              <w:right w:type="dxa" w:w="110"/>
            </w:tcMar>
          </w:tcPr>
          <w:p>
            <w:pPr>
              <w:spacing w:after="0"/>
            </w:pPr>
            <w:r>
              <w:rPr>
                <w:b/>
                <w:bCs/>
                <w:color w:val="FFFFFF"/>
                <w:sz w:val="19"/>
                <w:szCs w:val="19"/>
              </w:rPr>
              <w:t xml:space="preserve">Stage</w:t>
            </w:r>
          </w:p>
        </w:tc>
        <w:tc>
          <w:tcPr>
            <w:tcW w:type="dxa" w:w="4400"/>
            <w:shd w:fill="4A1C75" w:val="clear"/>
            <w:tcMar>
              <w:top w:type="dxa" w:w="80"/>
              <w:left w:type="dxa" w:w="110"/>
              <w:bottom w:type="dxa" w:w="80"/>
              <w:right w:type="dxa" w:w="110"/>
            </w:tcMar>
          </w:tcPr>
          <w:p>
            <w:pPr>
              <w:spacing w:after="0"/>
            </w:pPr>
            <w:r>
              <w:rPr>
                <w:b/>
                <w:bCs/>
                <w:color w:val="FFFFFF"/>
                <w:sz w:val="19"/>
                <w:szCs w:val="19"/>
              </w:rPr>
              <w:t xml:space="preserve">What was asked / what came back</w:t>
            </w:r>
          </w:p>
        </w:tc>
        <w:tc>
          <w:tcPr>
            <w:tcW w:type="dxa" w:w="3460"/>
            <w:shd w:fill="4A1C75" w:val="clear"/>
            <w:tcMar>
              <w:top w:type="dxa" w:w="80"/>
              <w:left w:type="dxa" w:w="110"/>
              <w:bottom w:type="dxa" w:w="80"/>
              <w:right w:type="dxa" w:w="110"/>
            </w:tcMar>
          </w:tcPr>
          <w:p>
            <w:pPr>
              <w:spacing w:after="0"/>
            </w:pPr>
            <w:r>
              <w:rPr>
                <w:b/>
                <w:bCs/>
                <w:color w:val="FFFFFF"/>
                <w:sz w:val="19"/>
                <w:szCs w:val="19"/>
              </w:rPr>
              <w:t xml:space="preserve">What I did with it</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9"/>
                <w:szCs w:val="19"/>
              </w:rPr>
              <w:t xml:space="preserve">Dataset verification</w:t>
            </w:r>
          </w:p>
        </w:tc>
        <w:tc>
          <w:tcPr>
            <w:tcW w:type="dxa" w:w="4400"/>
            <w:tcMar>
              <w:top w:type="dxa" w:w="80"/>
              <w:left w:type="dxa" w:w="110"/>
              <w:bottom w:type="dxa" w:w="80"/>
              <w:right w:type="dxa" w:w="110"/>
            </w:tcMar>
          </w:tcPr>
          <w:p>
            <w:pPr>
              <w:spacing w:after="0"/>
            </w:pPr>
            <w:r>
              <w:rPr>
                <w:b w:val="false"/>
                <w:bCs w:val="false"/>
                <w:color w:val="000000"/>
                <w:sz w:val="19"/>
                <w:szCs w:val="19"/>
              </w:rPr>
              <w:t xml:space="preserve">Asked the agent to confirm the study identity and every figure quoted in the assignment sheet. It opened the GEO Series page, the FTP directory and PubMed rather than answering from memory.</w:t>
            </w:r>
          </w:p>
        </w:tc>
        <w:tc>
          <w:tcPr>
            <w:tcW w:type="dxa" w:w="3460"/>
            <w:tcMar>
              <w:top w:type="dxa" w:w="80"/>
              <w:left w:type="dxa" w:w="110"/>
              <w:bottom w:type="dxa" w:w="80"/>
              <w:right w:type="dxa" w:w="110"/>
            </w:tcMar>
          </w:tcPr>
          <w:p>
            <w:pPr>
              <w:spacing w:after="0"/>
            </w:pPr>
            <w:r>
              <w:rPr>
                <w:b w:val="false"/>
                <w:bCs w:val="false"/>
                <w:color w:val="000000"/>
                <w:sz w:val="19"/>
                <w:szCs w:val="19"/>
              </w:rPr>
              <w:t xml:space="preserve">Accepted. All four quoted facts (20 samples, pre/post design, 3.7 MB counts file, SRP090633) checked out; the "nature microbiology" reference in the assignment did not, and is flagged in section 0.</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9"/>
                <w:szCs w:val="19"/>
              </w:rPr>
              <w:t xml:space="preserve">Design reconstruction</w:t>
            </w:r>
          </w:p>
        </w:tc>
        <w:tc>
          <w:tcPr>
            <w:tcW w:type="dxa" w:w="4400"/>
            <w:shd w:fill="F4EFFA" w:val="clear"/>
            <w:tcMar>
              <w:top w:type="dxa" w:w="80"/>
              <w:left w:type="dxa" w:w="110"/>
              <w:bottom w:type="dxa" w:w="80"/>
              <w:right w:type="dxa" w:w="110"/>
            </w:tcMar>
          </w:tcPr>
          <w:p>
            <w:pPr>
              <w:spacing w:after="0"/>
            </w:pPr>
            <w:r>
              <w:rPr>
                <w:b w:val="false"/>
                <w:bCs w:val="false"/>
                <w:color w:val="000000"/>
                <w:sz w:val="19"/>
                <w:szCs w:val="19"/>
              </w:rPr>
              <w:t xml:space="preserve">Asked for the sample table with patient, IRI status and stage per GSM.</w:t>
            </w:r>
          </w:p>
        </w:tc>
        <w:tc>
          <w:tcPr>
            <w:tcW w:type="dxa" w:w="3460"/>
            <w:shd w:fill="F4EFFA" w:val="clear"/>
            <w:tcMar>
              <w:top w:type="dxa" w:w="80"/>
              <w:left w:type="dxa" w:w="110"/>
              <w:bottom w:type="dxa" w:w="80"/>
              <w:right w:type="dxa" w:w="110"/>
            </w:tcMar>
          </w:tcPr>
          <w:p>
            <w:pPr>
              <w:spacing w:after="0"/>
            </w:pPr>
            <w:r>
              <w:rPr>
                <w:b w:val="false"/>
                <w:bCs w:val="false"/>
                <w:color w:val="000000"/>
                <w:sz w:val="19"/>
                <w:szCs w:val="19"/>
              </w:rPr>
              <w:t xml:space="preserve">Accepted after checking it against sample_table.csv produced by my own run — all 20 rows agree.</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9"/>
                <w:szCs w:val="19"/>
              </w:rPr>
              <w:t xml:space="preserve">Script drafting</w:t>
            </w:r>
          </w:p>
        </w:tc>
        <w:tc>
          <w:tcPr>
            <w:tcW w:type="dxa" w:w="4400"/>
            <w:tcMar>
              <w:top w:type="dxa" w:w="80"/>
              <w:left w:type="dxa" w:w="110"/>
              <w:bottom w:type="dxa" w:w="80"/>
              <w:right w:type="dxa" w:w="110"/>
            </w:tcMar>
          </w:tcPr>
          <w:p>
            <w:pPr>
              <w:spacing w:after="0"/>
            </w:pPr>
            <w:r>
              <w:rPr>
                <w:b w:val="false"/>
                <w:bCs w:val="false"/>
                <w:color w:val="000000"/>
                <w:sz w:val="19"/>
                <w:szCs w:val="19"/>
              </w:rPr>
              <w:t xml:space="preserve">Asked for the fetch/clean/QC/DE script, then reviewed it before running.</w:t>
            </w:r>
          </w:p>
        </w:tc>
        <w:tc>
          <w:tcPr>
            <w:tcW w:type="dxa" w:w="3460"/>
            <w:tcMar>
              <w:top w:type="dxa" w:w="80"/>
              <w:left w:type="dxa" w:w="110"/>
              <w:bottom w:type="dxa" w:w="80"/>
              <w:right w:type="dxa" w:w="110"/>
            </w:tcMar>
          </w:tcPr>
          <w:p>
            <w:pPr>
              <w:spacing w:after="0"/>
            </w:pPr>
            <w:r>
              <w:rPr>
                <w:b w:val="false"/>
                <w:bCs w:val="false"/>
                <w:color w:val="000000"/>
                <w:sz w:val="19"/>
                <w:szCs w:val="19"/>
              </w:rPr>
              <w:t xml:space="preserve">Accepted with changes. Two agent errors surfaced: a rank-deficient interaction model (R stopped; fixed) and read.delim on a .gz without gzfile().</w:t>
            </w:r>
          </w:p>
        </w:tc>
      </w:tr>
      <w:tr>
        <w:trPr>
          <w:tblHeader w:val="false"/>
        </w:trPr>
        <w:tc>
          <w:tcPr>
            <w:tcW w:type="dxa" w:w="1500"/>
            <w:shd w:fill="F4EFFA" w:val="clear"/>
            <w:tcMar>
              <w:top w:type="dxa" w:w="80"/>
              <w:left w:type="dxa" w:w="110"/>
              <w:bottom w:type="dxa" w:w="80"/>
              <w:right w:type="dxa" w:w="110"/>
            </w:tcMar>
          </w:tcPr>
          <w:p>
            <w:pPr>
              <w:spacing w:after="0"/>
            </w:pPr>
            <w:r>
              <w:rPr>
                <w:b w:val="false"/>
                <w:bCs w:val="false"/>
                <w:color w:val="000000"/>
                <w:sz w:val="19"/>
                <w:szCs w:val="19"/>
              </w:rPr>
              <w:t xml:space="preserve">Draft analysis</w:t>
            </w:r>
          </w:p>
        </w:tc>
        <w:tc>
          <w:tcPr>
            <w:tcW w:type="dxa" w:w="4400"/>
            <w:shd w:fill="F4EFFA" w:val="clear"/>
            <w:tcMar>
              <w:top w:type="dxa" w:w="80"/>
              <w:left w:type="dxa" w:w="110"/>
              <w:bottom w:type="dxa" w:w="80"/>
              <w:right w:type="dxa" w:w="110"/>
            </w:tcMar>
          </w:tcPr>
          <w:p>
            <w:pPr>
              <w:spacing w:after="0"/>
            </w:pPr>
            <w:r>
              <w:rPr>
                <w:b w:val="false"/>
                <w:bCs w:val="false"/>
                <w:color w:val="000000"/>
                <w:sz w:val="19"/>
                <w:szCs w:val="19"/>
              </w:rPr>
              <w:t xml:space="preserve">The agent independently recomputed the filter, QC and PCA from the downloaded matrix while drafting, using log2-CPM.</w:t>
            </w:r>
          </w:p>
        </w:tc>
        <w:tc>
          <w:tcPr>
            <w:tcW w:type="dxa" w:w="3460"/>
            <w:shd w:fill="F4EFFA" w:val="clear"/>
            <w:tcMar>
              <w:top w:type="dxa" w:w="80"/>
              <w:left w:type="dxa" w:w="110"/>
              <w:bottom w:type="dxa" w:w="80"/>
              <w:right w:type="dxa" w:w="110"/>
            </w:tcMar>
          </w:tcPr>
          <w:p>
            <w:pPr>
              <w:spacing w:after="0"/>
            </w:pPr>
            <w:r>
              <w:rPr>
                <w:b w:val="false"/>
                <w:bCs w:val="false"/>
                <w:color w:val="000000"/>
                <w:sz w:val="19"/>
                <w:szCs w:val="19"/>
              </w:rPr>
              <w:t xml:space="preserve">Superseded. Where the draft and my VST run disagree, the run wins — PC1 variance 31.7% → 39%, and the IRI effect on PC1 (p = 0.030 → p = 0.171) is reported as not significant.</w:t>
            </w:r>
          </w:p>
        </w:tc>
      </w:tr>
      <w:tr>
        <w:trPr>
          <w:tblHeader w:val="false"/>
        </w:trPr>
        <w:tc>
          <w:tcPr>
            <w:tcW w:type="dxa" w:w="1500"/>
            <w:tcMar>
              <w:top w:type="dxa" w:w="80"/>
              <w:left w:type="dxa" w:w="110"/>
              <w:bottom w:type="dxa" w:w="80"/>
              <w:right w:type="dxa" w:w="110"/>
            </w:tcMar>
          </w:tcPr>
          <w:p>
            <w:pPr>
              <w:spacing w:after="0"/>
            </w:pPr>
            <w:r>
              <w:rPr>
                <w:b w:val="false"/>
                <w:bCs w:val="false"/>
                <w:color w:val="000000"/>
                <w:sz w:val="19"/>
                <w:szCs w:val="19"/>
              </w:rPr>
              <w:t xml:space="preserve">Interpretation</w:t>
            </w:r>
          </w:p>
        </w:tc>
        <w:tc>
          <w:tcPr>
            <w:tcW w:type="dxa" w:w="4400"/>
            <w:tcMar>
              <w:top w:type="dxa" w:w="80"/>
              <w:left w:type="dxa" w:w="110"/>
              <w:bottom w:type="dxa" w:w="80"/>
              <w:right w:type="dxa" w:w="110"/>
            </w:tcMar>
          </w:tcPr>
          <w:p>
            <w:pPr>
              <w:spacing w:after="0"/>
            </w:pPr>
            <w:r>
              <w:rPr>
                <w:b w:val="false"/>
                <w:bCs w:val="false"/>
                <w:color w:val="000000"/>
                <w:sz w:val="19"/>
                <w:szCs w:val="19"/>
              </w:rPr>
              <w:t xml:space="preserve">Asked whether gene symbols could be added to the DE table.</w:t>
            </w:r>
          </w:p>
        </w:tc>
        <w:tc>
          <w:tcPr>
            <w:tcW w:type="dxa" w:w="3460"/>
            <w:tcMar>
              <w:top w:type="dxa" w:w="80"/>
              <w:left w:type="dxa" w:w="110"/>
              <w:bottom w:type="dxa" w:w="80"/>
              <w:right w:type="dxa" w:w="110"/>
            </w:tcMar>
          </w:tcPr>
          <w:p>
            <w:pPr>
              <w:spacing w:after="0"/>
            </w:pPr>
            <w:r>
              <w:rPr>
                <w:b w:val="false"/>
                <w:bCs w:val="false"/>
                <w:color w:val="000000"/>
                <w:sz w:val="19"/>
                <w:szCs w:val="19"/>
              </w:rPr>
              <w:t xml:space="preserve">Declined by the agent without an annotation package and a stated build; no symbols are asserted anywhere in this submission.</w:t>
            </w:r>
          </w:p>
        </w:tc>
      </w:tr>
    </w:tbl>
    <w:p>
      <w:pPr>
        <w:spacing w:after="120"/>
      </w:pPr>
      <w:r>
        <w:rPr>
          <w:sz w:val="19"/>
          <w:szCs w:val="19"/>
        </w:rPr>
        <w:t xml:space="preserve">Verification discipline applied throughout: no accession, file name, size or statistic in this document was taken from the agent's prior knowledge. Each was either read from the primary record or computed from the downloaded file — the numbers in Part E come from my own R run.</w:t>
      </w:r>
    </w:p>
    <w:p>
      <w:pPr>
        <w:pageBreakBefore/>
      </w:pPr>
    </w:p>
    <w:p>
      <w:pPr>
        <w:pStyle w:val="Heading2"/>
        <w:spacing w:after="120" w:before="240"/>
      </w:pPr>
      <w:r>
        <w:t xml:space="preserve">Appendix — R script</w:t>
      </w:r>
    </w:p>
    <w:p>
      <w:pPr>
        <w:spacing w:after="120"/>
      </w:pPr>
      <w:r>
        <w:rPr>
          <w:i/>
          <w:iCs/>
          <w:sz w:val="18"/>
          <w:szCs w:val="18"/>
        </w:rPr>
        <w:t xml:space="preserve">Also supplied as GSE87487_week3.R.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Week 3 homework — fetch, clean and document GSE87487</w:t>
      </w:r>
    </w:p>
    <w:p>
      <w:pPr>
        <w:spacing w:after="0"/>
      </w:pPr>
      <w:r>
        <w:rPr>
          <w:rFonts w:ascii="Consolas" w:cs="Consolas" w:eastAsia="Consolas" w:hAnsi="Consolas"/>
          <w:sz w:val="16"/>
          <w:szCs w:val="16"/>
        </w:rPr>
        <w:t xml:space="preserve"># Bioinformatics: From Multi-Omics Data to Discovery</w:t>
      </w:r>
    </w:p>
    <w:p>
      <w:pPr>
        <w:spacing w:after="0"/>
      </w:pPr>
      <w:r>
        <w:rPr>
          <w:rFonts w:ascii="Consolas" w:cs="Consolas" w:eastAsia="Consolas" w:hAnsi="Consolas"/>
          <w:sz w:val="16"/>
          <w:szCs w:val="16"/>
        </w:rPr>
        <w:t xml:space="preserve"># Dataset : GSE87487 (Sosa et al., JCI Insight 2016;1(20):e89679)</w:t>
      </w:r>
    </w:p>
    <w:p>
      <w:pPr>
        <w:spacing w:after="0"/>
      </w:pPr>
      <w:r>
        <w:rPr>
          <w:rFonts w:ascii="Consolas" w:cs="Consolas" w:eastAsia="Consolas" w:hAnsi="Consolas"/>
          <w:sz w:val="16"/>
          <w:szCs w:val="16"/>
        </w:rPr>
        <w:t xml:space="preserve"># Author  : Zhouhanyi (SUAT)</w:t>
      </w:r>
    </w:p>
    <w:p>
      <w:pPr>
        <w:spacing w:after="0"/>
      </w:pPr>
      <w:r>
        <w:rPr>
          <w:rFonts w:ascii="Consolas" w:cs="Consolas" w:eastAsia="Consolas" w:hAnsi="Consolas"/>
          <w:sz w:val="16"/>
          <w:szCs w:val="16"/>
        </w:rPr>
        <w:t xml:space="preserve"># NOTE    : Drafted with AI assistance (Claude). Every accession,</w:t>
      </w:r>
    </w:p>
    <w:p>
      <w:pPr>
        <w:spacing w:after="0"/>
      </w:pPr>
      <w:r>
        <w:rPr>
          <w:rFonts w:ascii="Consolas" w:cs="Consolas" w:eastAsia="Consolas" w:hAnsi="Consolas"/>
          <w:sz w:val="16"/>
          <w:szCs w:val="16"/>
        </w:rPr>
        <w:t xml:space="preserve">#           file name and number below was verified against the live</w:t>
      </w:r>
    </w:p>
    <w:p>
      <w:pPr>
        <w:spacing w:after="0"/>
      </w:pPr>
      <w:r>
        <w:rPr>
          <w:rFonts w:ascii="Consolas" w:cs="Consolas" w:eastAsia="Consolas" w:hAnsi="Consolas"/>
          <w:sz w:val="16"/>
          <w:szCs w:val="16"/>
        </w:rPr>
        <w:t xml:space="preserve">#           GEO / FTP record before being written down.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---- 00  project skeleton ------------------------------------------</w:t>
      </w:r>
    </w:p>
    <w:p>
      <w:pPr>
        <w:spacing w:after="0"/>
      </w:pPr>
      <w:r>
        <w:rPr>
          <w:rFonts w:ascii="Consolas" w:cs="Consolas" w:eastAsia="Consolas" w:hAnsi="Consolas"/>
          <w:sz w:val="16"/>
          <w:szCs w:val="16"/>
        </w:rPr>
        <w:t xml:space="preserve">dir.create("data_raw",       showWarnings = FALSE)</w:t>
      </w:r>
    </w:p>
    <w:p>
      <w:pPr>
        <w:spacing w:after="0"/>
      </w:pPr>
      <w:r>
        <w:rPr>
          <w:rFonts w:ascii="Consolas" w:cs="Consolas" w:eastAsia="Consolas" w:hAnsi="Consolas"/>
          <w:sz w:val="16"/>
          <w:szCs w:val="16"/>
        </w:rPr>
        <w:t xml:space="preserve">dir.create("data_processed", showWarnings = FALSE)</w:t>
      </w:r>
    </w:p>
    <w:p>
      <w:pPr>
        <w:spacing w:after="0"/>
      </w:pPr>
      <w:r>
        <w:rPr>
          <w:rFonts w:ascii="Consolas" w:cs="Consolas" w:eastAsia="Consolas" w:hAnsi="Consolas"/>
          <w:sz w:val="16"/>
          <w:szCs w:val="16"/>
        </w:rPr>
        <w:t xml:space="preserve">dir.create("metadata",       showWarnings = FALSE)</w:t>
      </w:r>
    </w:p>
    <w:p>
      <w:pPr>
        <w:spacing w:after="0"/>
      </w:pPr>
      <w:r>
        <w:rPr>
          <w:rFonts w:ascii="Consolas" w:cs="Consolas" w:eastAsia="Consolas" w:hAnsi="Consolas"/>
          <w:sz w:val="16"/>
          <w:szCs w:val="16"/>
        </w:rPr>
        <w:t xml:space="preserve">dir.create("figures",        showWarnings = FALSE)</w:t>
      </w:r>
    </w:p>
    <w:p>
      <w:pPr>
        <w:spacing w:after="0"/>
      </w:pPr>
      <w:r>
        <w:rPr>
          <w:rFonts w:ascii="Consolas" w:cs="Consolas" w:eastAsia="Consolas" w:hAnsi="Consolas"/>
          <w:sz w:val="16"/>
          <w:szCs w:val="16"/>
        </w:rPr>
        <w:t xml:space="preserve">dir.create("logs",           showWarnings = FALSE)</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library(GEOquery)</w:t>
      </w:r>
    </w:p>
    <w:p>
      <w:pPr>
        <w:spacing w:after="0"/>
      </w:pPr>
      <w:r>
        <w:rPr>
          <w:rFonts w:ascii="Consolas" w:cs="Consolas" w:eastAsia="Consolas" w:hAnsi="Consolas"/>
          <w:sz w:val="16"/>
          <w:szCs w:val="16"/>
        </w:rPr>
        <w:t xml:space="preserve">library(DESeq2)</w:t>
      </w:r>
    </w:p>
    <w:p>
      <w:pPr>
        <w:spacing w:after="0"/>
      </w:pPr>
      <w:r>
        <w:rPr>
          <w:rFonts w:ascii="Consolas" w:cs="Consolas" w:eastAsia="Consolas" w:hAnsi="Consolas"/>
          <w:sz w:val="16"/>
          <w:szCs w:val="16"/>
        </w:rPr>
        <w:t xml:space="preserve">library(ggplot2)</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---- 01  fetch -------------------------------------------------------</w:t>
      </w:r>
    </w:p>
    <w:p>
      <w:pPr>
        <w:spacing w:after="0"/>
      </w:pPr>
      <w:r>
        <w:rPr>
          <w:rFonts w:ascii="Consolas" w:cs="Consolas" w:eastAsia="Consolas" w:hAnsi="Consolas"/>
          <w:sz w:val="16"/>
          <w:szCs w:val="16"/>
        </w:rPr>
        <w:t xml:space="preserve">gse  &lt;- getGEO("GSE87487", GSEMatrix = TRUE)</w:t>
      </w:r>
    </w:p>
    <w:p>
      <w:pPr>
        <w:spacing w:after="0"/>
      </w:pPr>
      <w:r>
        <w:rPr>
          <w:rFonts w:ascii="Consolas" w:cs="Consolas" w:eastAsia="Consolas" w:hAnsi="Consolas"/>
          <w:sz w:val="16"/>
          <w:szCs w:val="16"/>
        </w:rPr>
        <w:t xml:space="preserve">eset &lt;- gse[[1]]</w:t>
      </w:r>
    </w:p>
    <w:p>
      <w:pPr>
        <w:spacing w:after="0"/>
      </w:pPr>
      <w:r>
        <w:rPr>
          <w:rFonts w:ascii="Consolas" w:cs="Consolas" w:eastAsia="Consolas" w:hAnsi="Consolas"/>
          <w:sz w:val="16"/>
          <w:szCs w:val="16"/>
        </w:rPr>
        <w:t xml:space="preserve">meta &lt;- pData(eset)</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raw counts live in the supplementary file, NOT in the series matrix.</w:t>
      </w:r>
    </w:p>
    <w:p>
      <w:pPr>
        <w:spacing w:after="0"/>
      </w:pPr>
      <w:r>
        <w:rPr>
          <w:rFonts w:ascii="Consolas" w:cs="Consolas" w:eastAsia="Consolas" w:hAnsi="Consolas"/>
          <w:sz w:val="16"/>
          <w:szCs w:val="16"/>
        </w:rPr>
        <w:t xml:space="preserve"># Download only if it is not already on disk -- so re-running the script</w:t>
      </w:r>
    </w:p>
    <w:p>
      <w:pPr>
        <w:spacing w:after="0"/>
      </w:pPr>
      <w:r>
        <w:rPr>
          <w:rFonts w:ascii="Consolas" w:cs="Consolas" w:eastAsia="Consolas" w:hAnsi="Consolas"/>
          <w:sz w:val="16"/>
          <w:szCs w:val="16"/>
        </w:rPr>
        <w:t xml:space="preserve"># (or dropping the file in by hand) never re-fetches 3.7 MB from NCBI.</w:t>
      </w:r>
    </w:p>
    <w:p>
      <w:pPr>
        <w:spacing w:after="0"/>
      </w:pPr>
      <w:r>
        <w:rPr>
          <w:rFonts w:ascii="Consolas" w:cs="Consolas" w:eastAsia="Consolas" w:hAnsi="Consolas"/>
          <w:sz w:val="16"/>
          <w:szCs w:val="16"/>
        </w:rPr>
        <w:t xml:space="preserve">cnt_file &lt;- file.path("data_raw", "GSE87487",</w:t>
      </w:r>
    </w:p>
    <w:p>
      <w:pPr>
        <w:spacing w:after="0"/>
      </w:pPr>
      <w:r>
        <w:rPr>
          <w:rFonts w:ascii="Consolas" w:cs="Consolas" w:eastAsia="Consolas" w:hAnsi="Consolas"/>
          <w:sz w:val="16"/>
          <w:szCs w:val="16"/>
        </w:rPr>
        <w:t xml:space="preserve">                      "GSE87487_counts.20samples.txt.gz")</w:t>
      </w:r>
    </w:p>
    <w:p>
      <w:pPr>
        <w:spacing w:after="0"/>
      </w:pPr>
      <w:r>
        <w:rPr>
          <w:rFonts w:ascii="Consolas" w:cs="Consolas" w:eastAsia="Consolas" w:hAnsi="Consolas"/>
          <w:sz w:val="16"/>
          <w:szCs w:val="16"/>
        </w:rPr>
        <w:t xml:space="preserve">if (!file.exists(cnt_file)) {</w:t>
      </w:r>
    </w:p>
    <w:p>
      <w:pPr>
        <w:spacing w:after="0"/>
      </w:pPr>
      <w:r>
        <w:rPr>
          <w:rFonts w:ascii="Consolas" w:cs="Consolas" w:eastAsia="Consolas" w:hAnsi="Consolas"/>
          <w:sz w:val="16"/>
          <w:szCs w:val="16"/>
        </w:rPr>
        <w:t xml:space="preserve">  getGEOSuppFiles("GSE87487", baseDir = "data_raw")</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stopifnot(file.exists(cnt_file))</w:t>
      </w:r>
    </w:p>
    <w:p>
      <w:pPr>
        <w:spacing w:after="0"/>
      </w:pPr>
      <w:r>
        <w:rPr>
          <w:rFonts w:ascii="Consolas" w:cs="Consolas" w:eastAsia="Consolas" w:hAnsi="Consolas"/>
          <w:sz w:val="16"/>
          <w:szCs w:val="16"/>
        </w:rPr>
        <w:t xml:space="preserve">cat("counts file:", cnt_file, "-",</w:t>
      </w:r>
    </w:p>
    <w:p>
      <w:pPr>
        <w:spacing w:after="0"/>
      </w:pPr>
      <w:r>
        <w:rPr>
          <w:rFonts w:ascii="Consolas" w:cs="Consolas" w:eastAsia="Consolas" w:hAnsi="Consolas"/>
          <w:sz w:val="16"/>
          <w:szCs w:val="16"/>
        </w:rPr>
        <w:t xml:space="preserve">    round(file.size(cnt_file)/1e6, 2), "MB\n")   # expect 3.90 MB</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---- 02  read counts -------------------------------------------------</w:t>
      </w:r>
    </w:p>
    <w:p>
      <w:pPr>
        <w:spacing w:after="0"/>
      </w:pPr>
      <w:r>
        <w:rPr>
          <w:rFonts w:ascii="Consolas" w:cs="Consolas" w:eastAsia="Consolas" w:hAnsi="Consolas"/>
          <w:sz w:val="16"/>
          <w:szCs w:val="16"/>
        </w:rPr>
        <w:t xml:space="preserve"># featureCounts output: 6 annotation columns before the 20 sample columns</w:t>
      </w:r>
    </w:p>
    <w:p>
      <w:pPr>
        <w:spacing w:after="0"/>
      </w:pPr>
      <w:r>
        <w:rPr>
          <w:rFonts w:ascii="Consolas" w:cs="Consolas" w:eastAsia="Consolas" w:hAnsi="Consolas"/>
          <w:sz w:val="16"/>
          <w:szCs w:val="16"/>
        </w:rPr>
        <w:t xml:space="preserve">raw &lt;- read.delim(gzfile(cnt_file), check.names = FALSE)</w:t>
      </w:r>
    </w:p>
    <w:p>
      <w:pPr>
        <w:spacing w:after="0"/>
      </w:pPr>
      <w:r>
        <w:rPr>
          <w:rFonts w:ascii="Consolas" w:cs="Consolas" w:eastAsia="Consolas" w:hAnsi="Consolas"/>
          <w:sz w:val="16"/>
          <w:szCs w:val="16"/>
        </w:rPr>
        <w:t xml:space="preserve">stopifnot(ncol(raw) == 26)</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gene_ann &lt;- raw[, 1:6]                       # Geneid Chr Start End Strand Length</w:t>
      </w:r>
    </w:p>
    <w:p>
      <w:pPr>
        <w:spacing w:after="0"/>
      </w:pPr>
      <w:r>
        <w:rPr>
          <w:rFonts w:ascii="Consolas" w:cs="Consolas" w:eastAsia="Consolas" w:hAnsi="Consolas"/>
          <w:sz w:val="16"/>
          <w:szCs w:val="16"/>
        </w:rPr>
        <w:t xml:space="preserve">counts   &lt;- as.matrix(raw[, 7:26])</w:t>
      </w:r>
    </w:p>
    <w:p>
      <w:pPr>
        <w:spacing w:after="0"/>
      </w:pPr>
      <w:r>
        <w:rPr>
          <w:rFonts w:ascii="Consolas" w:cs="Consolas" w:eastAsia="Consolas" w:hAnsi="Consolas"/>
          <w:sz w:val="16"/>
          <w:szCs w:val="16"/>
        </w:rPr>
        <w:t xml:space="preserve">rownames(counts) &lt;- raw$Geneid               # Ensembl IDs, versioned</w:t>
      </w:r>
    </w:p>
    <w:p>
      <w:pPr>
        <w:spacing w:after="0"/>
      </w:pPr>
      <w:r>
        <w:rPr>
          <w:rFonts w:ascii="Consolas" w:cs="Consolas" w:eastAsia="Consolas" w:hAnsi="Consolas"/>
          <w:sz w:val="16"/>
          <w:szCs w:val="16"/>
        </w:rPr>
        <w:t xml:space="preserve">colnames(counts) &lt;- sub("^Sample_", "", sub("\\.bam$", "", colnames(counts)))</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---- 03  THE SILENT-MISALIGNMENT FIX ---------------------------------</w:t>
      </w:r>
    </w:p>
    <w:p>
      <w:pPr>
        <w:spacing w:after="0"/>
      </w:pPr>
      <w:r>
        <w:rPr>
          <w:rFonts w:ascii="Consolas" w:cs="Consolas" w:eastAsia="Consolas" w:hAnsi="Consolas"/>
          <w:sz w:val="16"/>
          <w:szCs w:val="16"/>
        </w:rPr>
        <w:t xml:space="preserve"># GEO sample titles and counts-file column names do NOT match literally:</w:t>
      </w:r>
    </w:p>
    <w:p>
      <w:pPr>
        <w:spacing w:after="0"/>
      </w:pPr>
      <w:r>
        <w:rPr>
          <w:rFonts w:ascii="Consolas" w:cs="Consolas" w:eastAsia="Consolas" w:hAnsi="Consolas"/>
          <w:sz w:val="16"/>
          <w:szCs w:val="16"/>
        </w:rPr>
        <w:t xml:space="preserve">#   GEO "Pt10Bx1"  vs counts "Pt10-Bx1"   (hyphen)</w:t>
      </w:r>
    </w:p>
    <w:p>
      <w:pPr>
        <w:spacing w:after="0"/>
      </w:pPr>
      <w:r>
        <w:rPr>
          <w:rFonts w:ascii="Consolas" w:cs="Consolas" w:eastAsia="Consolas" w:hAnsi="Consolas"/>
          <w:sz w:val="16"/>
          <w:szCs w:val="16"/>
        </w:rPr>
        <w:t xml:space="preserve">#   GEO "HBBX1"    vs counts "HBBx1"      (capitalisation)</w:t>
      </w:r>
    </w:p>
    <w:p>
      <w:pPr>
        <w:spacing w:after="0"/>
      </w:pPr>
      <w:r>
        <w:rPr>
          <w:rFonts w:ascii="Consolas" w:cs="Consolas" w:eastAsia="Consolas" w:hAnsi="Consolas"/>
          <w:sz w:val="16"/>
          <w:szCs w:val="16"/>
        </w:rPr>
        <w:t xml:space="preserve"># and the column ORDER differs from the GSM order. Never trust order.</w:t>
      </w:r>
    </w:p>
    <w:p>
      <w:pPr>
        <w:spacing w:after="0"/>
      </w:pPr>
      <w:r>
        <w:rPr>
          <w:rFonts w:ascii="Consolas" w:cs="Consolas" w:eastAsia="Consolas" w:hAnsi="Consolas"/>
          <w:sz w:val="16"/>
          <w:szCs w:val="16"/>
        </w:rPr>
        <w:t xml:space="preserve">norm_id &lt;- function(x) toupper(gsub("-", "", x))</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meta$sample_key &lt;- norm_id(meta$title)</w:t>
      </w:r>
    </w:p>
    <w:p>
      <w:pPr>
        <w:spacing w:after="0"/>
      </w:pPr>
      <w:r>
        <w:rPr>
          <w:rFonts w:ascii="Consolas" w:cs="Consolas" w:eastAsia="Consolas" w:hAnsi="Consolas"/>
          <w:sz w:val="16"/>
          <w:szCs w:val="16"/>
        </w:rPr>
        <w:t xml:space="preserve">key_to_col &lt;- setNames(colnames(counts), norm_id(colnames(counts)))</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stopifnot(all(meta$sample_key %in% names(key_to_col)))   # fail loudly</w:t>
      </w:r>
    </w:p>
    <w:p>
      <w:pPr>
        <w:spacing w:after="0"/>
      </w:pPr>
      <w:r>
        <w:rPr>
          <w:rFonts w:ascii="Consolas" w:cs="Consolas" w:eastAsia="Consolas" w:hAnsi="Consolas"/>
          <w:sz w:val="16"/>
          <w:szCs w:val="16"/>
        </w:rPr>
        <w:t xml:space="preserve">counts &lt;- counts[, key_to_col[meta$sample_key]]</w:t>
      </w:r>
    </w:p>
    <w:p>
      <w:pPr>
        <w:spacing w:after="0"/>
      </w:pPr>
      <w:r>
        <w:rPr>
          <w:rFonts w:ascii="Consolas" w:cs="Consolas" w:eastAsia="Consolas" w:hAnsi="Consolas"/>
          <w:sz w:val="16"/>
          <w:szCs w:val="16"/>
        </w:rPr>
        <w:t xml:space="preserve">colnames(counts) &lt;- rownames(meta)                        # now GSM ids</w:t>
      </w:r>
    </w:p>
    <w:p>
      <w:pPr>
        <w:spacing w:after="0"/>
      </w:pPr>
      <w:r>
        <w:rPr>
          <w:rFonts w:ascii="Consolas" w:cs="Consolas" w:eastAsia="Consolas" w:hAnsi="Consolas"/>
          <w:sz w:val="16"/>
          <w:szCs w:val="16"/>
        </w:rPr>
        <w:t xml:space="preserve">stopifnot(identical(colnames(counts), rownames(meta)))</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---- 04  build the design table --------------------------------------</w:t>
      </w:r>
    </w:p>
    <w:p>
      <w:pPr>
        <w:spacing w:after="0"/>
      </w:pPr>
      <w:r>
        <w:rPr>
          <w:rFonts w:ascii="Consolas" w:cs="Consolas" w:eastAsia="Consolas" w:hAnsi="Consolas"/>
          <w:sz w:val="16"/>
          <w:szCs w:val="16"/>
        </w:rPr>
        <w:t xml:space="preserve">meta$stage   &lt;- factor(ifelse(grepl("post", meta$`transplant stage:ch1`),</w:t>
      </w:r>
    </w:p>
    <w:p>
      <w:pPr>
        <w:spacing w:after="0"/>
      </w:pPr>
      <w:r>
        <w:rPr>
          <w:rFonts w:ascii="Consolas" w:cs="Consolas" w:eastAsia="Consolas" w:hAnsi="Consolas"/>
          <w:sz w:val="16"/>
          <w:szCs w:val="16"/>
        </w:rPr>
        <w:t xml:space="preserve">                              "post", "pre"), levels = c("pre", "post"))</w:t>
      </w:r>
    </w:p>
    <w:p>
      <w:pPr>
        <w:spacing w:after="0"/>
      </w:pPr>
      <w:r>
        <w:rPr>
          <w:rFonts w:ascii="Consolas" w:cs="Consolas" w:eastAsia="Consolas" w:hAnsi="Consolas"/>
          <w:sz w:val="16"/>
          <w:szCs w:val="16"/>
        </w:rPr>
        <w:t xml:space="preserve">meta$iri     &lt;- factor(ifelse(grepl("positive",</w:t>
      </w:r>
    </w:p>
    <w:p>
      <w:pPr>
        <w:spacing w:after="0"/>
      </w:pPr>
      <w:r>
        <w:rPr>
          <w:rFonts w:ascii="Consolas" w:cs="Consolas" w:eastAsia="Consolas" w:hAnsi="Consolas"/>
          <w:sz w:val="16"/>
          <w:szCs w:val="16"/>
        </w:rPr>
        <w:t xml:space="preserve">                              meta$`ischemia reperfusion injury (iri):ch1`),</w:t>
      </w:r>
    </w:p>
    <w:p>
      <w:pPr>
        <w:spacing w:after="0"/>
      </w:pPr>
      <w:r>
        <w:rPr>
          <w:rFonts w:ascii="Consolas" w:cs="Consolas" w:eastAsia="Consolas" w:hAnsi="Consolas"/>
          <w:sz w:val="16"/>
          <w:szCs w:val="16"/>
        </w:rPr>
        <w:t xml:space="preserve">                              "IRIpos", "IRIneg"), levels = c("IRIneg", "IRIpos"))</w:t>
      </w:r>
    </w:p>
    <w:p>
      <w:pPr>
        <w:spacing w:after="0"/>
      </w:pPr>
      <w:r>
        <w:rPr>
          <w:rFonts w:ascii="Consolas" w:cs="Consolas" w:eastAsia="Consolas" w:hAnsi="Consolas"/>
          <w:sz w:val="16"/>
          <w:szCs w:val="16"/>
        </w:rPr>
        <w:t xml:space="preserve"># patient = sample title with the trailing biopsy number removed</w:t>
      </w:r>
    </w:p>
    <w:p>
      <w:pPr>
        <w:spacing w:after="0"/>
      </w:pPr>
      <w:r>
        <w:rPr>
          <w:rFonts w:ascii="Consolas" w:cs="Consolas" w:eastAsia="Consolas" w:hAnsi="Consolas"/>
          <w:sz w:val="16"/>
          <w:szCs w:val="16"/>
        </w:rPr>
        <w:t xml:space="preserve">meta$patient &lt;- factor(sub("[Bb][Xx][12]$", "", meta$title))</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table(meta$iri, meta$stage)     # IRIneg 6/6 , IRIpos 4/4</w:t>
      </w:r>
    </w:p>
    <w:p>
      <w:pPr>
        <w:spacing w:after="0"/>
      </w:pPr>
      <w:r>
        <w:rPr>
          <w:rFonts w:ascii="Consolas" w:cs="Consolas" w:eastAsia="Consolas" w:hAnsi="Consolas"/>
          <w:sz w:val="16"/>
          <w:szCs w:val="16"/>
        </w:rPr>
        <w:t xml:space="preserve">length(levels(meta$patient))    # 10 patients, 2 biopsies each</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---- 05  the five integrity checks -----------------------------------</w:t>
      </w:r>
    </w:p>
    <w:p>
      <w:pPr>
        <w:spacing w:after="0"/>
      </w:pPr>
      <w:r>
        <w:rPr>
          <w:rFonts w:ascii="Consolas" w:cs="Consolas" w:eastAsia="Consolas" w:hAnsi="Consolas"/>
          <w:sz w:val="16"/>
          <w:szCs w:val="16"/>
        </w:rPr>
        <w:t xml:space="preserve">stopifnot(!anyDuplicated(rownames(counts)))          # duplicate genes</w:t>
      </w:r>
    </w:p>
    <w:p>
      <w:pPr>
        <w:spacing w:after="0"/>
      </w:pPr>
      <w:r>
        <w:rPr>
          <w:rFonts w:ascii="Consolas" w:cs="Consolas" w:eastAsia="Consolas" w:hAnsi="Consolas"/>
          <w:sz w:val="16"/>
          <w:szCs w:val="16"/>
        </w:rPr>
        <w:t xml:space="preserve">stopifnot(sum(is.na(counts)) == 0)                   # missing values</w:t>
      </w:r>
    </w:p>
    <w:p>
      <w:pPr>
        <w:spacing w:after="0"/>
      </w:pPr>
      <w:r>
        <w:rPr>
          <w:rFonts w:ascii="Consolas" w:cs="Consolas" w:eastAsia="Consolas" w:hAnsi="Consolas"/>
          <w:sz w:val="16"/>
          <w:szCs w:val="16"/>
        </w:rPr>
        <w:t xml:space="preserve">stopifnot(ncol(counts) == nrow(meta))                # dimension match</w:t>
      </w:r>
    </w:p>
    <w:p>
      <w:pPr>
        <w:spacing w:after="0"/>
      </w:pPr>
      <w:r>
        <w:rPr>
          <w:rFonts w:ascii="Consolas" w:cs="Consolas" w:eastAsia="Consolas" w:hAnsi="Consolas"/>
          <w:sz w:val="16"/>
          <w:szCs w:val="16"/>
        </w:rPr>
        <w:t xml:space="preserve">stopifnot(identical(colnames(counts), rownames(meta)))  # order match</w:t>
      </w:r>
    </w:p>
    <w:p>
      <w:pPr>
        <w:spacing w:after="0"/>
      </w:pPr>
      <w:r>
        <w:rPr>
          <w:rFonts w:ascii="Consolas" w:cs="Consolas" w:eastAsia="Consolas" w:hAnsi="Consolas"/>
          <w:sz w:val="16"/>
          <w:szCs w:val="16"/>
        </w:rPr>
        <w:t xml:space="preserve">stopifnot(all(counts == floor(counts)), min(counts) &gt;= 0)  # value range</w:t>
      </w:r>
    </w:p>
    <w:p>
      <w:pPr>
        <w:spacing w:after="0"/>
      </w:pPr>
      <w:r>
        <w:rPr>
          <w:rFonts w:ascii="Consolas" w:cs="Consolas" w:eastAsia="Consolas" w:hAnsi="Consolas"/>
          <w:sz w:val="16"/>
          <w:szCs w:val="16"/>
        </w:rPr>
        <w:t xml:space="preserve">cat("library sizes:", range(colSums(counts)), "\n")  # 7,059,456 - 10,610,420</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---- 06  filter low-count genes --------------------------------------</w:t>
      </w:r>
    </w:p>
    <w:p>
      <w:pPr>
        <w:spacing w:after="0"/>
      </w:pPr>
      <w:r>
        <w:rPr>
          <w:rFonts w:ascii="Consolas" w:cs="Consolas" w:eastAsia="Consolas" w:hAnsi="Consolas"/>
          <w:sz w:val="16"/>
          <w:szCs w:val="16"/>
        </w:rPr>
        <w:t xml:space="preserve"># smallest group = 4 patients (IRI+), so require &gt;=10 counts in &gt;=4 samples</w:t>
      </w:r>
    </w:p>
    <w:p>
      <w:pPr>
        <w:spacing w:after="0"/>
      </w:pPr>
      <w:r>
        <w:rPr>
          <w:rFonts w:ascii="Consolas" w:cs="Consolas" w:eastAsia="Consolas" w:hAnsi="Consolas"/>
          <w:sz w:val="16"/>
          <w:szCs w:val="16"/>
        </w:rPr>
        <w:t xml:space="preserve">keep     &lt;- rowSums(counts &gt;= 10) &gt;= 4</w:t>
      </w:r>
    </w:p>
    <w:p>
      <w:pPr>
        <w:spacing w:after="0"/>
      </w:pPr>
      <w:r>
        <w:rPr>
          <w:rFonts w:ascii="Consolas" w:cs="Consolas" w:eastAsia="Consolas" w:hAnsi="Consolas"/>
          <w:sz w:val="16"/>
          <w:szCs w:val="16"/>
        </w:rPr>
        <w:t xml:space="preserve">counts_f &lt;- counts[keep, ]</w:t>
      </w:r>
    </w:p>
    <w:p>
      <w:pPr>
        <w:spacing w:after="0"/>
      </w:pPr>
      <w:r>
        <w:rPr>
          <w:rFonts w:ascii="Consolas" w:cs="Consolas" w:eastAsia="Consolas" w:hAnsi="Consolas"/>
          <w:sz w:val="16"/>
          <w:szCs w:val="16"/>
        </w:rPr>
        <w:t xml:space="preserve">cat(sum(keep), "of", nrow(counts), "genes retained\n")</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---- 07  DESeq2 object — PAIRED design -------------------------------</w:t>
      </w:r>
    </w:p>
    <w:p>
      <w:pPr>
        <w:spacing w:after="0"/>
      </w:pPr>
      <w:r>
        <w:rPr>
          <w:rFonts w:ascii="Consolas" w:cs="Consolas" w:eastAsia="Consolas" w:hAnsi="Consolas"/>
          <w:sz w:val="16"/>
          <w:szCs w:val="16"/>
        </w:rPr>
        <w:t xml:space="preserve"># Samples are NOT independent: 2 biopsies per patient.</w:t>
      </w:r>
    </w:p>
    <w:p>
      <w:pPr>
        <w:spacing w:after="0"/>
      </w:pPr>
      <w:r>
        <w:rPr>
          <w:rFonts w:ascii="Consolas" w:cs="Consolas" w:eastAsia="Consolas" w:hAnsi="Consolas"/>
          <w:sz w:val="16"/>
          <w:szCs w:val="16"/>
        </w:rPr>
        <w:t xml:space="preserve"># patient absorbs the within-subject correlation; the interaction asks</w:t>
      </w:r>
    </w:p>
    <w:p>
      <w:pPr>
        <w:spacing w:after="0"/>
      </w:pPr>
      <w:r>
        <w:rPr>
          <w:rFonts w:ascii="Consolas" w:cs="Consolas" w:eastAsia="Consolas" w:hAnsi="Consolas"/>
          <w:sz w:val="16"/>
          <w:szCs w:val="16"/>
        </w:rPr>
        <w:t xml:space="preserve"># whether the pre-&gt;post change differs between IRI+ and IRI- recipients.</w:t>
      </w:r>
    </w:p>
    <w:p>
      <w:pPr>
        <w:spacing w:after="0"/>
      </w:pPr>
      <w:r>
        <w:rPr>
          <w:rFonts w:ascii="Consolas" w:cs="Consolas" w:eastAsia="Consolas" w:hAnsi="Consolas"/>
          <w:sz w:val="16"/>
          <w:szCs w:val="16"/>
        </w:rPr>
        <w:t xml:space="preserve">dds &lt;- DESeqDataSetFromMatrix(</w:t>
      </w:r>
    </w:p>
    <w:p>
      <w:pPr>
        <w:spacing w:after="0"/>
      </w:pPr>
      <w:r>
        <w:rPr>
          <w:rFonts w:ascii="Consolas" w:cs="Consolas" w:eastAsia="Consolas" w:hAnsi="Consolas"/>
          <w:sz w:val="16"/>
          <w:szCs w:val="16"/>
        </w:rPr>
        <w:t xml:space="preserve">         countData = counts_f,</w:t>
      </w:r>
    </w:p>
    <w:p>
      <w:pPr>
        <w:spacing w:after="0"/>
      </w:pPr>
      <w:r>
        <w:rPr>
          <w:rFonts w:ascii="Consolas" w:cs="Consolas" w:eastAsia="Consolas" w:hAnsi="Consolas"/>
          <w:sz w:val="16"/>
          <w:szCs w:val="16"/>
        </w:rPr>
        <w:t xml:space="preserve">         colData   = meta[, c("patient", "iri", "stage")],</w:t>
      </w:r>
    </w:p>
    <w:p>
      <w:pPr>
        <w:spacing w:after="0"/>
      </w:pPr>
      <w:r>
        <w:rPr>
          <w:rFonts w:ascii="Consolas" w:cs="Consolas" w:eastAsia="Consolas" w:hAnsi="Consolas"/>
          <w:sz w:val="16"/>
          <w:szCs w:val="16"/>
        </w:rPr>
        <w:t xml:space="preserve">         design    = ~ patient + stage)</w:t>
      </w:r>
    </w:p>
    <w:p>
      <w:pPr>
        <w:spacing w:after="0"/>
      </w:pPr>
      <w:r>
        <w:rPr>
          <w:rFonts w:ascii="Consolas" w:cs="Consolas" w:eastAsia="Consolas" w:hAnsi="Consolas"/>
          <w:sz w:val="16"/>
          <w:szCs w:val="16"/>
        </w:rPr>
        <w:t xml:space="preserve">dds &lt;- DESeq(dds)</w:t>
      </w:r>
    </w:p>
    <w:p>
      <w:pPr>
        <w:spacing w:after="0"/>
      </w:pPr>
      <w:r>
        <w:rPr>
          <w:rFonts w:ascii="Consolas" w:cs="Consolas" w:eastAsia="Consolas" w:hAnsi="Consolas"/>
          <w:sz w:val="16"/>
          <w:szCs w:val="16"/>
        </w:rPr>
        <w:t xml:space="preserve">res &lt;- results(dds, name = "stage_post_vs_pre")</w:t>
      </w:r>
    </w:p>
    <w:p>
      <w:pPr>
        <w:spacing w:after="0"/>
      </w:pPr>
      <w:r>
        <w:rPr>
          <w:rFonts w:ascii="Consolas" w:cs="Consolas" w:eastAsia="Consolas" w:hAnsi="Consolas"/>
          <w:sz w:val="16"/>
          <w:szCs w:val="16"/>
        </w:rPr>
        <w:t xml:space="preserve">summary(res)</w:t>
      </w:r>
    </w:p>
    <w:p>
      <w:pPr>
        <w:spacing w:after="0"/>
      </w:pPr>
      <w:r>
        <w:rPr>
          <w:rFonts w:ascii="Consolas" w:cs="Consolas" w:eastAsia="Consolas" w:hAnsi="Consolas"/>
          <w:sz w:val="16"/>
          <w:szCs w:val="16"/>
        </w:rPr>
        <w:t xml:space="preserve">write.csv(as.data.frame(res[order(res$padj), ]),</w:t>
      </w:r>
    </w:p>
    <w:p>
      <w:pPr>
        <w:spacing w:after="0"/>
      </w:pPr>
      <w:r>
        <w:rPr>
          <w:rFonts w:ascii="Consolas" w:cs="Consolas" w:eastAsia="Consolas" w:hAnsi="Consolas"/>
          <w:sz w:val="16"/>
          <w:szCs w:val="16"/>
        </w:rPr>
        <w:t xml:space="preserve">          "data_processed/DE_post_vs_pre.csv")</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---- 07b  IRI x stage interaction (exploratory, OPTIONAL) ------------</w:t>
      </w:r>
    </w:p>
    <w:p>
      <w:pPr>
        <w:spacing w:after="0"/>
      </w:pPr>
      <w:r>
        <w:rPr>
          <w:rFonts w:ascii="Consolas" w:cs="Consolas" w:eastAsia="Consolas" w:hAnsi="Consolas"/>
          <w:sz w:val="16"/>
          <w:szCs w:val="16"/>
        </w:rPr>
        <w:t xml:space="preserve"># `iri` cannot enter the model beside `patient`: every patient has exactly</w:t>
      </w:r>
    </w:p>
    <w:p>
      <w:pPr>
        <w:spacing w:after="0"/>
      </w:pPr>
      <w:r>
        <w:rPr>
          <w:rFonts w:ascii="Consolas" w:cs="Consolas" w:eastAsia="Consolas" w:hAnsi="Consolas"/>
          <w:sz w:val="16"/>
          <w:szCs w:val="16"/>
        </w:rPr>
        <w:t xml:space="preserve"># one IRI status, so the two are perfectly confounded. Use the DESeq2</w:t>
      </w:r>
    </w:p>
    <w:p>
      <w:pPr>
        <w:spacing w:after="0"/>
      </w:pPr>
      <w:r>
        <w:rPr>
          <w:rFonts w:ascii="Consolas" w:cs="Consolas" w:eastAsia="Consolas" w:hAnsi="Consolas"/>
          <w:sz w:val="16"/>
          <w:szCs w:val="16"/>
        </w:rPr>
        <w:t xml:space="preserve"># vignette's nested-individual trick: renumber patients WITHIN each IRI</w:t>
      </w:r>
    </w:p>
    <w:p>
      <w:pPr>
        <w:spacing w:after="0"/>
      </w:pPr>
      <w:r>
        <w:rPr>
          <w:rFonts w:ascii="Consolas" w:cs="Consolas" w:eastAsia="Consolas" w:hAnsi="Consolas"/>
          <w:sz w:val="16"/>
          <w:szCs w:val="16"/>
        </w:rPr>
        <w:t xml:space="preserve"># group, then ask whether the pre-&gt;post effect differs between groups.</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CAUTION: the groups are unbalanced (4 IRI+ vs 6 IRI-), so the naive</w:t>
      </w:r>
    </w:p>
    <w:p>
      <w:pPr>
        <w:spacing w:after="0"/>
      </w:pPr>
      <w:r>
        <w:rPr>
          <w:rFonts w:ascii="Consolas" w:cs="Consolas" w:eastAsia="Consolas" w:hAnsi="Consolas"/>
          <w:sz w:val="16"/>
          <w:szCs w:val="16"/>
        </w:rPr>
        <w:t xml:space="preserve"># formula ~ iri + iri:ind.n + iri:stage is RANK-DEFICIENT -- the</w:t>
      </w:r>
    </w:p>
    <w:p>
      <w:pPr>
        <w:spacing w:after="0"/>
      </w:pPr>
      <w:r>
        <w:rPr>
          <w:rFonts w:ascii="Consolas" w:cs="Consolas" w:eastAsia="Consolas" w:hAnsi="Consolas"/>
          <w:sz w:val="16"/>
          <w:szCs w:val="16"/>
        </w:rPr>
        <w:t xml:space="preserve"># iriIRIpos:ind.n5 and iriIRIpos:ind.n6 columns are all zeros and DESeq2</w:t>
      </w:r>
    </w:p>
    <w:p>
      <w:pPr>
        <w:spacing w:after="0"/>
      </w:pPr>
      <w:r>
        <w:rPr>
          <w:rFonts w:ascii="Consolas" w:cs="Consolas" w:eastAsia="Consolas" w:hAnsi="Consolas"/>
          <w:sz w:val="16"/>
          <w:szCs w:val="16"/>
        </w:rPr>
        <w:t xml:space="preserve"># stops with "the model matrix is not full rank". Build the matrix by</w:t>
      </w:r>
    </w:p>
    <w:p>
      <w:pPr>
        <w:spacing w:after="0"/>
      </w:pPr>
      <w:r>
        <w:rPr>
          <w:rFonts w:ascii="Consolas" w:cs="Consolas" w:eastAsia="Consolas" w:hAnsi="Consolas"/>
          <w:sz w:val="16"/>
          <w:szCs w:val="16"/>
        </w:rPr>
        <w:t xml:space="preserve"># hand, drop the empty columns, and pass it via `full=`.</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meta$ind.n &lt;- factor(ave(as.character(meta$patient), meta$iri,</w:t>
      </w:r>
    </w:p>
    <w:p>
      <w:pPr>
        <w:spacing w:after="0"/>
      </w:pPr>
      <w:r>
        <w:rPr>
          <w:rFonts w:ascii="Consolas" w:cs="Consolas" w:eastAsia="Consolas" w:hAnsi="Consolas"/>
          <w:sz w:val="16"/>
          <w:szCs w:val="16"/>
        </w:rPr>
        <w:t xml:space="preserve">                         FUN = function(x) match(x, unique(x))))</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dds2 &lt;- DESeqDataSetFromMatrix(</w:t>
      </w:r>
    </w:p>
    <w:p>
      <w:pPr>
        <w:spacing w:after="0"/>
      </w:pPr>
      <w:r>
        <w:rPr>
          <w:rFonts w:ascii="Consolas" w:cs="Consolas" w:eastAsia="Consolas" w:hAnsi="Consolas"/>
          <w:sz w:val="16"/>
          <w:szCs w:val="16"/>
        </w:rPr>
        <w:t xml:space="preserve">          countData = counts_f,</w:t>
      </w:r>
    </w:p>
    <w:p>
      <w:pPr>
        <w:spacing w:after="0"/>
      </w:pPr>
      <w:r>
        <w:rPr>
          <w:rFonts w:ascii="Consolas" w:cs="Consolas" w:eastAsia="Consolas" w:hAnsi="Consolas"/>
          <w:sz w:val="16"/>
          <w:szCs w:val="16"/>
        </w:rPr>
        <w:t xml:space="preserve">          colData   = meta[, c("iri", "ind.n", "stage")],</w:t>
      </w:r>
    </w:p>
    <w:p>
      <w:pPr>
        <w:spacing w:after="0"/>
      </w:pPr>
      <w:r>
        <w:rPr>
          <w:rFonts w:ascii="Consolas" w:cs="Consolas" w:eastAsia="Consolas" w:hAnsi="Consolas"/>
          <w:sz w:val="16"/>
          <w:szCs w:val="16"/>
        </w:rPr>
        <w:t xml:space="preserve">          design    = ~ 1)                       # placeholder, replaced below</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mm &lt;- model.matrix(~ iri + iri:ind.n + iri:stage,</w:t>
      </w:r>
    </w:p>
    <w:p>
      <w:pPr>
        <w:spacing w:after="0"/>
      </w:pPr>
      <w:r>
        <w:rPr>
          <w:rFonts w:ascii="Consolas" w:cs="Consolas" w:eastAsia="Consolas" w:hAnsi="Consolas"/>
          <w:sz w:val="16"/>
          <w:szCs w:val="16"/>
        </w:rPr>
        <w:t xml:space="preserve">                   data = as.data.frame(colData(dds2)))</w:t>
      </w:r>
    </w:p>
    <w:p>
      <w:pPr>
        <w:spacing w:after="0"/>
      </w:pPr>
      <w:r>
        <w:rPr>
          <w:rFonts w:ascii="Consolas" w:cs="Consolas" w:eastAsia="Consolas" w:hAnsi="Consolas"/>
          <w:sz w:val="16"/>
          <w:szCs w:val="16"/>
        </w:rPr>
        <w:t xml:space="preserve">mm &lt;- mm[, colSums(abs(mm)) &gt; 0, drop = FALSE]   # drop all-zero columns</w:t>
      </w:r>
    </w:p>
    <w:p>
      <w:pPr>
        <w:spacing w:after="0"/>
      </w:pPr>
      <w:r>
        <w:rPr>
          <w:rFonts w:ascii="Consolas" w:cs="Consolas" w:eastAsia="Consolas" w:hAnsi="Consolas"/>
          <w:sz w:val="16"/>
          <w:szCs w:val="16"/>
        </w:rPr>
        <w:t xml:space="preserve">qrm &lt;- qr(mm)</w:t>
      </w:r>
    </w:p>
    <w:p>
      <w:pPr>
        <w:spacing w:after="0"/>
      </w:pPr>
      <w:r>
        <w:rPr>
          <w:rFonts w:ascii="Consolas" w:cs="Consolas" w:eastAsia="Consolas" w:hAnsi="Consolas"/>
          <w:sz w:val="16"/>
          <w:szCs w:val="16"/>
        </w:rPr>
        <w:t xml:space="preserve">mm  &lt;- mm[, qrm$pivot[seq_len(qrm$rank)], drop = FALSE]  # drop dependencies</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dds2 &lt;- DESeq(dds2, full = mm, betaPrior = FALSE)</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rn     &lt;- resultsNames(dds2)</w:t>
      </w:r>
    </w:p>
    <w:p>
      <w:pPr>
        <w:spacing w:after="0"/>
      </w:pPr>
      <w:r>
        <w:rPr>
          <w:rFonts w:ascii="Consolas" w:cs="Consolas" w:eastAsia="Consolas" w:hAnsi="Consolas"/>
          <w:sz w:val="16"/>
          <w:szCs w:val="16"/>
        </w:rPr>
        <w:t xml:space="preserve">print(rn)</w:t>
      </w:r>
    </w:p>
    <w:p>
      <w:pPr>
        <w:spacing w:after="0"/>
      </w:pPr>
      <w:r>
        <w:rPr>
          <w:rFonts w:ascii="Consolas" w:cs="Consolas" w:eastAsia="Consolas" w:hAnsi="Consolas"/>
          <w:sz w:val="16"/>
          <w:szCs w:val="16"/>
        </w:rPr>
        <w:t xml:space="preserve">nm_pos &lt;- grep("iriIRIpos.*stagepost", rn, value = TRUE)</w:t>
      </w:r>
    </w:p>
    <w:p>
      <w:pPr>
        <w:spacing w:after="0"/>
      </w:pPr>
      <w:r>
        <w:rPr>
          <w:rFonts w:ascii="Consolas" w:cs="Consolas" w:eastAsia="Consolas" w:hAnsi="Consolas"/>
          <w:sz w:val="16"/>
          <w:szCs w:val="16"/>
        </w:rPr>
        <w:t xml:space="preserve">nm_neg &lt;- grep("iriIRIneg.*stagepost", rn, value = TRUE)</w:t>
      </w:r>
    </w:p>
    <w:p>
      <w:pPr>
        <w:spacing w:after="0"/>
      </w:pPr>
      <w:r>
        <w:rPr>
          <w:rFonts w:ascii="Consolas" w:cs="Consolas" w:eastAsia="Consolas" w:hAnsi="Consolas"/>
          <w:sz w:val="16"/>
          <w:szCs w:val="16"/>
        </w:rPr>
        <w:t xml:space="preserve">stopifnot(length(nm_pos) == 1, length(nm_neg) == 1)</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interaction = (post-pre in IRI+) - (post-pre in IRI-)</w:t>
      </w:r>
    </w:p>
    <w:p>
      <w:pPr>
        <w:spacing w:after="0"/>
      </w:pPr>
      <w:r>
        <w:rPr>
          <w:rFonts w:ascii="Consolas" w:cs="Consolas" w:eastAsia="Consolas" w:hAnsi="Consolas"/>
          <w:sz w:val="16"/>
          <w:szCs w:val="16"/>
        </w:rPr>
        <w:t xml:space="preserve">res_int &lt;- results(dds2, contrast = list(nm_pos, nm_neg))</w:t>
      </w:r>
    </w:p>
    <w:p>
      <w:pPr>
        <w:spacing w:after="0"/>
      </w:pPr>
      <w:r>
        <w:rPr>
          <w:rFonts w:ascii="Consolas" w:cs="Consolas" w:eastAsia="Consolas" w:hAnsi="Consolas"/>
          <w:sz w:val="16"/>
          <w:szCs w:val="16"/>
        </w:rPr>
        <w:t xml:space="preserve">summary(res_int)</w:t>
      </w:r>
    </w:p>
    <w:p>
      <w:pPr>
        <w:spacing w:after="0"/>
      </w:pPr>
      <w:r>
        <w:rPr>
          <w:rFonts w:ascii="Consolas" w:cs="Consolas" w:eastAsia="Consolas" w:hAnsi="Consolas"/>
          <w:sz w:val="16"/>
          <w:szCs w:val="16"/>
        </w:rPr>
        <w:t xml:space="preserve">write.csv(as.data.frame(res_int[order(res_int$padj), ]),</w:t>
      </w:r>
    </w:p>
    <w:p>
      <w:pPr>
        <w:spacing w:after="0"/>
      </w:pPr>
      <w:r>
        <w:rPr>
          <w:rFonts w:ascii="Consolas" w:cs="Consolas" w:eastAsia="Consolas" w:hAnsi="Consolas"/>
          <w:sz w:val="16"/>
          <w:szCs w:val="16"/>
        </w:rPr>
        <w:t xml:space="preserve">          "data_processed/DE_interaction_IRI_by_stage.csv")</w:t>
      </w:r>
    </w:p>
    <w:p>
      <w:pPr>
        <w:spacing w:after="0"/>
      </w:pPr>
      <w:r>
        <w:rPr>
          <w:rFonts w:ascii="Consolas" w:cs="Consolas" w:eastAsia="Consolas" w:hAnsi="Consolas"/>
          <w:sz w:val="16"/>
          <w:szCs w:val="16"/>
        </w:rPr>
        <w:t xml:space="preserve"># NOTE: 4 vs 6 patients. Report as exploratory, not confirmatory.</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---- 08  QC + PCA ----------------------------------------------------</w:t>
      </w:r>
    </w:p>
    <w:p>
      <w:pPr>
        <w:spacing w:after="0"/>
      </w:pPr>
      <w:r>
        <w:rPr>
          <w:rFonts w:ascii="Consolas" w:cs="Consolas" w:eastAsia="Consolas" w:hAnsi="Consolas"/>
          <w:sz w:val="16"/>
          <w:szCs w:val="16"/>
        </w:rPr>
        <w:t xml:space="preserve">vsd &lt;- vst(dds, blind = TRUE)</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p_group &lt;- plotPCA(vsd, intgroup = "stage") + ggtitle("PCA — by transplant stage")</w:t>
      </w:r>
    </w:p>
    <w:p>
      <w:pPr>
        <w:spacing w:after="0"/>
      </w:pPr>
      <w:r>
        <w:rPr>
          <w:rFonts w:ascii="Consolas" w:cs="Consolas" w:eastAsia="Consolas" w:hAnsi="Consolas"/>
          <w:sz w:val="16"/>
          <w:szCs w:val="16"/>
        </w:rPr>
        <w:t xml:space="preserve">p_iri   &lt;- plotPCA(vsd, intgroup = "iri")   + ggtitle("PCA — by IRI status")</w:t>
      </w:r>
    </w:p>
    <w:p>
      <w:pPr>
        <w:spacing w:after="0"/>
      </w:pPr>
      <w:r>
        <w:rPr>
          <w:rFonts w:ascii="Consolas" w:cs="Consolas" w:eastAsia="Consolas" w:hAnsi="Consolas"/>
          <w:sz w:val="16"/>
          <w:szCs w:val="16"/>
        </w:rPr>
        <w:t xml:space="preserve">p_pat   &lt;- plotPCA(vsd, intgroup = "patient") + ggtitle("PCA — by patient (batch proxy)")</w:t>
      </w:r>
    </w:p>
    <w:p>
      <w:pPr>
        <w:spacing w:after="0"/>
      </w:pPr>
      <w:r>
        <w:rPr>
          <w:rFonts w:ascii="Consolas" w:cs="Consolas" w:eastAsia="Consolas" w:hAnsi="Consolas"/>
          <w:sz w:val="16"/>
          <w:szCs w:val="16"/>
        </w:rPr>
        <w:t xml:space="preserve">ggsave("figures/pca_stage.png",   p_group, width = 6, height = 5, dpi = 150)</w:t>
      </w:r>
    </w:p>
    <w:p>
      <w:pPr>
        <w:spacing w:after="0"/>
      </w:pPr>
      <w:r>
        <w:rPr>
          <w:rFonts w:ascii="Consolas" w:cs="Consolas" w:eastAsia="Consolas" w:hAnsi="Consolas"/>
          <w:sz w:val="16"/>
          <w:szCs w:val="16"/>
        </w:rPr>
        <w:t xml:space="preserve">ggsave("figures/pca_iri.png",     p_iri,   width = 6, height = 5, dpi = 150)</w:t>
      </w:r>
    </w:p>
    <w:p>
      <w:pPr>
        <w:spacing w:after="0"/>
      </w:pPr>
      <w:r>
        <w:rPr>
          <w:rFonts w:ascii="Consolas" w:cs="Consolas" w:eastAsia="Consolas" w:hAnsi="Consolas"/>
          <w:sz w:val="16"/>
          <w:szCs w:val="16"/>
        </w:rPr>
        <w:t xml:space="preserve">ggsave("figures/pca_patient.png", p_pat,   width = 6, height = 5, dpi = 150)</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png("figures/qc_libsize.png", width = 900, height = 500)</w:t>
      </w:r>
    </w:p>
    <w:p>
      <w:pPr>
        <w:spacing w:after="0"/>
      </w:pPr>
      <w:r>
        <w:rPr>
          <w:rFonts w:ascii="Consolas" w:cs="Consolas" w:eastAsia="Consolas" w:hAnsi="Consolas"/>
          <w:sz w:val="16"/>
          <w:szCs w:val="16"/>
        </w:rPr>
        <w:t xml:space="preserve">barplot(colSums(counts) / 1e6, las = 2, ylab = "million reads",</w:t>
      </w:r>
    </w:p>
    <w:p>
      <w:pPr>
        <w:spacing w:after="0"/>
      </w:pPr>
      <w:r>
        <w:rPr>
          <w:rFonts w:ascii="Consolas" w:cs="Consolas" w:eastAsia="Consolas" w:hAnsi="Consolas"/>
          <w:sz w:val="16"/>
          <w:szCs w:val="16"/>
        </w:rPr>
        <w:t xml:space="preserve">        main = "Library size per sample")</w:t>
      </w:r>
    </w:p>
    <w:p>
      <w:pPr>
        <w:spacing w:after="0"/>
      </w:pPr>
      <w:r>
        <w:rPr>
          <w:rFonts w:ascii="Consolas" w:cs="Consolas" w:eastAsia="Consolas" w:hAnsi="Consolas"/>
          <w:sz w:val="16"/>
          <w:szCs w:val="16"/>
        </w:rPr>
        <w:t xml:space="preserve">dev.off()</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png("figures/qc_boxplot.png", width = 900, height = 500)</w:t>
      </w:r>
    </w:p>
    <w:p>
      <w:pPr>
        <w:spacing w:after="0"/>
      </w:pPr>
      <w:r>
        <w:rPr>
          <w:rFonts w:ascii="Consolas" w:cs="Consolas" w:eastAsia="Consolas" w:hAnsi="Consolas"/>
          <w:sz w:val="16"/>
          <w:szCs w:val="16"/>
        </w:rPr>
        <w:t xml:space="preserve">boxplot(log2(counts_f + 1), las = 2, outline = FALSE,</w:t>
      </w:r>
    </w:p>
    <w:p>
      <w:pPr>
        <w:spacing w:after="0"/>
      </w:pPr>
      <w:r>
        <w:rPr>
          <w:rFonts w:ascii="Consolas" w:cs="Consolas" w:eastAsia="Consolas" w:hAnsi="Consolas"/>
          <w:sz w:val="16"/>
          <w:szCs w:val="16"/>
        </w:rPr>
        <w:t xml:space="preserve">        ylab = "log2(count + 1)", main = "Per-sample distribution")</w:t>
      </w:r>
    </w:p>
    <w:p>
      <w:pPr>
        <w:spacing w:after="0"/>
      </w:pPr>
      <w:r>
        <w:rPr>
          <w:rFonts w:ascii="Consolas" w:cs="Consolas" w:eastAsia="Consolas" w:hAnsi="Consolas"/>
          <w:sz w:val="16"/>
          <w:szCs w:val="16"/>
        </w:rPr>
        <w:t xml:space="preserve">dev.off()</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---- 09  save + provenance -------------------------------------------</w:t>
      </w:r>
    </w:p>
    <w:p>
      <w:pPr>
        <w:spacing w:after="0"/>
      </w:pPr>
      <w:r>
        <w:rPr>
          <w:rFonts w:ascii="Consolas" w:cs="Consolas" w:eastAsia="Consolas" w:hAnsi="Consolas"/>
          <w:sz w:val="16"/>
          <w:szCs w:val="16"/>
        </w:rPr>
        <w:t xml:space="preserve">saveRDS(list(counts = counts_f, meta = meta, gene_ann = gene_ann),</w:t>
      </w:r>
    </w:p>
    <w:p>
      <w:pPr>
        <w:spacing w:after="0"/>
      </w:pPr>
      <w:r>
        <w:rPr>
          <w:rFonts w:ascii="Consolas" w:cs="Consolas" w:eastAsia="Consolas" w:hAnsi="Consolas"/>
          <w:sz w:val="16"/>
          <w:szCs w:val="16"/>
        </w:rPr>
        <w:t xml:space="preserve">        "data_processed/GSE87487_clean.rds")</w:t>
      </w:r>
    </w:p>
    <w:p>
      <w:pPr>
        <w:spacing w:after="0"/>
      </w:pPr>
      <w:r>
        <w:rPr>
          <w:rFonts w:ascii="Consolas" w:cs="Consolas" w:eastAsia="Consolas" w:hAnsi="Consolas"/>
          <w:sz w:val="16"/>
          <w:szCs w:val="16"/>
        </w:rPr>
        <w:t xml:space="preserve">write.csv(meta[, c("title", "patient", "iri", "stage")],</w:t>
      </w:r>
    </w:p>
    <w:p>
      <w:pPr>
        <w:spacing w:after="0"/>
      </w:pPr>
      <w:r>
        <w:rPr>
          <w:rFonts w:ascii="Consolas" w:cs="Consolas" w:eastAsia="Consolas" w:hAnsi="Consolas"/>
          <w:sz w:val="16"/>
          <w:szCs w:val="16"/>
        </w:rPr>
        <w:t xml:space="preserve">          "metadata/sample_table.csv")</w:t>
      </w:r>
    </w:p>
    <w:p>
      <w:pPr>
        <w:spacing w:after="0"/>
      </w:pPr>
      <w:r>
        <w:rPr>
          <w:rFonts w:ascii="Consolas" w:cs="Consolas" w:eastAsia="Consolas" w:hAnsi="Consolas"/>
          <w:sz w:val="16"/>
          <w:szCs w:val="16"/>
        </w:rPr>
        <w:t xml:space="preserve">writeLines(capture.output(sessionInfo()), "logs/session_info.txt")</w:t>
      </w:r>
    </w:p>
    <w:p>
      <w:pPr>
        <w:spacing w:after="0"/>
      </w:pPr>
      <w:r>
        <w:rPr>
          <w:rFonts w:ascii="Consolas" w:cs="Consolas" w:eastAsia="Consolas" w:hAnsi="Consolas"/>
          <w:sz w:val="16"/>
          <w:szCs w:val="16"/>
        </w:rPr>
        <w:t xml:space="preserve"/>
      </w:r>
    </w:p>
    <w:p>
      <w:pPr>
        <w:pStyle w:val="Heading2"/>
        <w:spacing w:after="120" w:before="240"/>
      </w:pPr>
      <w:r>
        <w:t xml:space="preserve">AI-use disclosure</w:t>
      </w:r>
    </w:p>
    <w:p>
      <w:pPr>
        <w:spacing w:after="100"/>
      </w:pPr>
      <w:r>
        <w:t xml:space="preserve">This assignment was prepared with an AI agent (Claude, Anthropic). The agent read the lecture slides and reading material, opened the GEO Series page for GSE87487, retrieved and decompressed the supplementary counts file to verify the integer-count claim and the library sizes, cross-checked the publication through PubMed, and drafted the R script and this document.</w:t>
      </w:r>
    </w:p>
    <w:p>
      <w:pPr>
        <w:spacing w:after="100"/>
      </w:pPr>
      <w:r>
        <w:t xml:space="preserve">Division of labour. The agent verified the accession and file facts against the live records, wrote the R script, and — during drafting — independently recomputed the filter, QC and PCA on the downloaded matrix to check the script's logic before it was run. The script itself was then executed by me in R 4.6.1; every figure and every number in Part E is that run's output. Two discrepancies between the agent's draft analysis and the real run were found and the real run wins: PC1 carries 39% of variance rather than 31.7% (VST vs log-CPM), and the apparent IRI effect on PC1 (p = 0.030 in the draft) is not significant under VST (p = 0.171) and is reported as absent. One bug in the agent's first draft — a rank-deficient model matrix in the interaction section, caused by the unbalanced 4-vs-6 design — was caught by R and fixed before the final run.</w:t>
      </w:r>
    </w:p>
    <w:p>
      <w:pPr>
        <w:spacing w:after="120"/>
      </w:pPr>
      <w:r>
        <w:rPr>
          <w:sz w:val="18"/>
          <w:szCs w:val="18"/>
        </w:rPr>
        <w:t xml:space="preserve">Verification trail: GEO Series page https://www.ncbi.nlm.nih.gov/geo/query/acc.cgi?acc=GSE87487 · supplementary file https://ftp.ncbi.nlm.nih.gov/geo/series/GSE87nnn/GSE87487/suppl/ · publication doi:10.1172/jci.insight.89679 (PMID 27942590), metadata retrieved from PubMed.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b2ad4d1e1acd2da062b9c5bb8d3fd9accfe17e.png"/><Relationship Id="rId8" Type="http://schemas.openxmlformats.org/officeDocument/2006/relationships/image" Target="media/121d9dea25f78504a36671296b30b20b16d71c08.png"/><Relationship Id="rId9" Type="http://schemas.openxmlformats.org/officeDocument/2006/relationships/image" Target="media/c99bf4e1588598634003a2c9177521cc1db9b286.png"/><Relationship Id="rId10" Type="http://schemas.openxmlformats.org/officeDocument/2006/relationships/image" Target="media/6b8b03ca5c0682fafa3770fd48fba4a3a9fd8329.png"/><Relationship Id="rId11" Type="http://schemas.openxmlformats.org/officeDocument/2006/relationships/image" Target="media/e018ed00cb013ca503c8fed179302bb27f9ab7c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2026-09-13T09:40:56.347Z</dcterms:created>
  <dcterms:modified xsi:type="dcterms:W3CDTF">2026-09-13T09:40:56.347Z</dcterms:modified>
</cp:coreProperties>
</file>

<file path=docProps/custom.xml><?xml version="1.0" encoding="utf-8"?>
<Properties xmlns="http://schemas.openxmlformats.org/officeDocument/2006/custom-properties" xmlns:vt="http://schemas.openxmlformats.org/officeDocument/2006/docPropsVTypes"/>
</file>