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5B2C86"/>
          <w:sz w:val="20"/>
          <w:szCs w:val="20"/>
        </w:rPr>
        <w:t xml:space="preserve">Bioinformatics: From Multi-Omics Data to Discovery</w:t>
      </w:r>
    </w:p>
    <w:p>
      <w:pPr>
        <w:pBdr>
          <w:bottom w:val="single" w:color="5B2C86" w:sz="8"/>
        </w:pBdr>
        <w:spacing w:after="200"/>
      </w:pPr>
      <w:r>
        <w:rPr>
          <w:rFonts w:ascii="Calibri" w:cs="Calibri" w:eastAsia="Calibri" w:hAnsi="Calibri"/>
          <w:b/>
          <w:bCs/>
          <w:color w:val="3F1C6B"/>
          <w:sz w:val="30"/>
          <w:szCs w:val="30"/>
        </w:rPr>
        <w:t xml:space="preserve">Homework for Week 2 — Scientific Question Formulation &amp; AI-Assisted Literature Mining</w:t>
      </w:r>
    </w:p>
    <w:p>
      <w:pPr>
        <w:spacing w:after="120"/>
      </w:pPr>
      <w:r>
        <w:rPr>
          <w:rFonts w:ascii="Calibri" w:cs="Calibri" w:eastAsia="Calibri" w:hAnsi="Calibri"/>
          <w:b/>
          <w:bCs/>
          <w:i w:val="false"/>
          <w:iCs w:val="false"/>
          <w:sz w:val="21"/>
          <w:szCs w:val="21"/>
        </w:rPr>
        <w:t xml:space="preserve">Name: </w:t>
      </w:r>
      <w:r>
        <w:rPr>
          <w:rFonts w:ascii="Calibri" w:cs="Calibri" w:eastAsia="Calibri" w:hAnsi="Calibri"/>
          <w:b w:val="false"/>
          <w:bCs w:val="false"/>
          <w:i w:val="false"/>
          <w:iCs w:val="false"/>
          <w:sz w:val="21"/>
          <w:szCs w:val="21"/>
        </w:rPr>
        <w:t xml:space="preserve">Zhouhanyi (zhy)    </w:t>
      </w:r>
      <w:r>
        <w:rPr>
          <w:rFonts w:ascii="Calibri" w:cs="Calibri" w:eastAsia="Calibri" w:hAnsi="Calibri"/>
          <w:b/>
          <w:bCs/>
          <w:i w:val="false"/>
          <w:iCs w:val="false"/>
          <w:sz w:val="21"/>
          <w:szCs w:val="21"/>
        </w:rPr>
        <w:t xml:space="preserve">Student e-mail: </w:t>
      </w:r>
      <w:r>
        <w:rPr>
          <w:rFonts w:ascii="Calibri" w:cs="Calibri" w:eastAsia="Calibri" w:hAnsi="Calibri"/>
          <w:b w:val="false"/>
          <w:bCs w:val="false"/>
          <w:i w:val="false"/>
          <w:iCs w:val="false"/>
          <w:sz w:val="21"/>
          <w:szCs w:val="21"/>
        </w:rPr>
        <w:t xml:space="preserve">SUAT24000202@stu.suat-sz.edu.cn    </w:t>
      </w:r>
      <w:r>
        <w:rPr>
          <w:rFonts w:ascii="Calibri" w:cs="Calibri" w:eastAsia="Calibri" w:hAnsi="Calibri"/>
          <w:b/>
          <w:bCs/>
          <w:i w:val="false"/>
          <w:iCs w:val="false"/>
          <w:sz w:val="21"/>
          <w:szCs w:val="21"/>
        </w:rPr>
        <w:t xml:space="preserve">Date: </w:t>
      </w:r>
      <w:r>
        <w:rPr>
          <w:rFonts w:ascii="Calibri" w:cs="Calibri" w:eastAsia="Calibri" w:hAnsi="Calibri"/>
          <w:b w:val="false"/>
          <w:bCs w:val="false"/>
          <w:i w:val="false"/>
          <w:iCs w:val="false"/>
          <w:sz w:val="21"/>
          <w:szCs w:val="21"/>
        </w:rPr>
        <w:t xml:space="preserve">6 September 2026</w:t>
      </w:r>
    </w:p>
    <w:p>
      <w:pPr>
        <w:spacing w:after="200"/>
      </w:pPr>
      <w:r>
        <w:rPr>
          <w:rFonts w:ascii="Calibri" w:cs="Calibri" w:eastAsia="Calibri" w:hAnsi="Calibri"/>
          <w:b/>
          <w:bCs/>
          <w:i w:val="false"/>
          <w:iCs w:val="false"/>
          <w:sz w:val="21"/>
          <w:szCs w:val="21"/>
        </w:rPr>
        <w:t xml:space="preserve">Chosen topic: </w:t>
      </w:r>
      <w:r>
        <w:rPr>
          <w:rFonts w:ascii="Calibri" w:cs="Calibri" w:eastAsia="Calibri" w:hAnsi="Calibri"/>
          <w:b w:val="false"/>
          <w:bCs w:val="false"/>
          <w:i w:val="false"/>
          <w:iCs w:val="false"/>
          <w:sz w:val="21"/>
          <w:szCs w:val="21"/>
        </w:rPr>
        <w:t xml:space="preserve">Liver microenvironment in metabolic liver disease (MASLD/MASH → HCC) — related to the course topic list item “Proteomic biomarkers in MAFLD/MASH”.</w:t>
      </w:r>
    </w:p>
    <w:p>
      <w:pPr>
        <w:pStyle w:val="Heading1"/>
        <w:spacing w:after="140" w:before="260"/>
      </w:pPr>
      <w:r>
        <w:rPr>
          <w:rFonts w:ascii="Calibri" w:cs="Calibri" w:eastAsia="Calibri" w:hAnsi="Calibri"/>
          <w:b/>
          <w:bCs/>
          <w:color w:val="3F1C6B"/>
          <w:sz w:val="30"/>
          <w:szCs w:val="30"/>
        </w:rPr>
        <w:t xml:space="preserve">Part 1 — The two papers provided in the folder</w:t>
      </w:r>
    </w:p>
    <w:p>
      <w:pPr>
        <w:pStyle w:val="Heading2"/>
        <w:spacing w:after="140" w:before="260"/>
      </w:pPr>
      <w:r>
        <w:rPr>
          <w:rFonts w:ascii="Calibri" w:cs="Calibri" w:eastAsia="Calibri" w:hAnsi="Calibri"/>
          <w:b/>
          <w:bCs/>
          <w:color w:val="5B2C86"/>
          <w:sz w:val="24"/>
          <w:szCs w:val="24"/>
        </w:rPr>
        <w:t xml:space="preserve">Paper A. Huang L, Pan G, et al. Microbial network signatures of early colonizers in infants with eczema. iMeta 2023;2:e90. DOI: 10.1002/imt2.90</w:t>
      </w:r>
    </w:p>
    <w:p>
      <w:pPr>
        <w:spacing w:after="120"/>
      </w:pPr>
      <w:r>
        <w:rPr>
          <w:rFonts w:ascii="Calibri" w:cs="Calibri" w:eastAsia="Calibri" w:hAnsi="Calibri"/>
          <w:b/>
          <w:bCs/>
          <w:sz w:val="21"/>
          <w:szCs w:val="21"/>
        </w:rPr>
        <w:t xml:space="preserve">Q1 — PICO / PECO</w:t>
      </w:r>
    </w:p>
    <w:p>
      <w:pPr>
        <w:spacing w:after="120"/>
      </w:pPr>
      <w:r>
        <w:rPr>
          <w:rFonts w:ascii="Calibri" w:cs="Calibri" w:eastAsia="Calibri" w:hAnsi="Calibri"/>
          <w:i/>
          <w:iCs/>
          <w:sz w:val="21"/>
          <w:szCs w:val="21"/>
        </w:rPr>
        <w:t xml:space="preserve">This is a prospective observational mother–infant cohort with no assigned treatment, so PECO (Exposure) is the correct frame, not PICO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Element</w:t>
            </w:r>
          </w:p>
        </w:tc>
        <w:tc>
          <w:tcPr>
            <w:tcW w:type="dxa" w:w="786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Content in this paper</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 (Population)</w:t>
            </w:r>
          </w:p>
        </w:tc>
        <w:tc>
          <w:tcPr>
            <w:tcW w:type="dxa" w:w="78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34 mother–infant pairs recruited at Zhujiang Hospital, Guangzhou (screened 876, enrolled 42, 35 sequenced, 34 with complete 6-month follow-up). Strict inclusion: healthy mothers aged 20–40, pre-pregnancy BMI &lt; 28, vaginal delivery only, exclusive or predominant breastfeeding, no antibiotics during the sampling window. Fecal samples at 4 time points across the first 100 days: meconium, month 1, month 2, month 3.</w:t>
            </w:r>
          </w:p>
          <w:p>
            <w:pPr>
              <w:spacing w:after="40"/>
            </w:pPr>
            <w:r>
              <w:rPr>
                <w:rFonts w:ascii="Calibri" w:cs="Calibri" w:eastAsia="Calibri" w:hAnsi="Calibri"/>
                <w:b w:val="false"/>
                <w:bCs w:val="false"/>
                <w:sz w:val="20"/>
                <w:szCs w:val="20"/>
              </w:rPr>
              <w:t xml:space="preserve">External validation populations: healthy infants from the Swedish cohort (Roswall et al.) and the Danish cohort (Christensen et al.).</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 (Exposure)</w:t>
            </w:r>
          </w:p>
        </w:tc>
        <w:tc>
          <w:tcPr>
            <w:tcW w:type="dxa" w:w="78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Infant level: developing infantile eczema (atopic dermatitis) by 6 months of age — case group, n = 12.</w:t>
            </w:r>
          </w:p>
          <w:p>
            <w:pPr>
              <w:spacing w:after="40"/>
            </w:pPr>
            <w:r>
              <w:rPr>
                <w:rFonts w:ascii="Calibri" w:cs="Calibri" w:eastAsia="Calibri" w:hAnsi="Calibri"/>
                <w:b w:val="false"/>
                <w:bCs w:val="false"/>
                <w:sz w:val="20"/>
                <w:szCs w:val="20"/>
              </w:rPr>
              <w:t xml:space="preserve">Maternal level: late-pregnancy maternal metabolic status, in particular pre-delivery BMI and serum triglyceride (TG); also pre-pregnancy BMI, gestational weight gain, OGTT glucose, total cholesterol.</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 (Comparison)</w:t>
            </w:r>
          </w:p>
        </w:tc>
        <w:tc>
          <w:tcPr>
            <w:tcW w:type="dxa" w:w="78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Infants who remained free of eczema at 6 months (control group, n = 22); plus the two independent healthy infant cohorts (Sweden, Denmark) used as an external comparison for network rhythmicity; plus a within-subject comparison across the four sampling time points (meconium vs. month 1/2/3).</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 (Outcome)</w:t>
            </w:r>
          </w:p>
        </w:tc>
        <w:tc>
          <w:tcPr>
            <w:tcW w:type="dxa" w:w="78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 Alpha diversity (InverseSimpson index); (ii) beta diversity / community structure (PCoA, axis-wise between-group tests); (iii) phylum- and family-level relative abundance (Enterobacteriaceae, Bifidobacteriaceae, Lactobacillaceae; ternary plots); (iv) molecular ecological network (MEN) topology indices — number of clusters, edges, positive edges, negative edges, vertices, diameter, average path length, average degree (average K), relative modularity, centralisation betweenness/degree; (v) eczema risk, expressed as adjusted odds ratio from multivariable logistic regression.</w:t>
            </w:r>
          </w:p>
        </w:tc>
      </w:tr>
    </w:tbl>
    <w:p>
      <w:pPr>
        <w:spacing w:after="200"/>
      </w:pPr>
      <w:r>
        <w:rPr>
          <w:rFonts w:ascii="Calibri" w:cs="Calibri" w:eastAsia="Calibri" w:hAnsi="Calibri"/>
          <w:b/>
          <w:bCs/>
          <w:i w:val="false"/>
          <w:iCs w:val="false"/>
          <w:sz w:val="21"/>
          <w:szCs w:val="21"/>
        </w:rPr>
        <w:t xml:space="preserve">One-sentence PECO question: </w:t>
      </w:r>
      <w:r>
        <w:rPr>
          <w:rFonts w:ascii="Calibri" w:cs="Calibri" w:eastAsia="Calibri" w:hAnsi="Calibri"/>
          <w:b w:val="false"/>
          <w:bCs w:val="false"/>
          <w:i w:val="false"/>
          <w:iCs w:val="false"/>
          <w:sz w:val="21"/>
          <w:szCs w:val="21"/>
        </w:rPr>
        <w:t xml:space="preserve">In vaginally delivered, breastfed infants during the first 100 days of life (P), is the development of eczema by 6 months (E), compared with staying eczema-free (C), associated with lower gut microbial richness and a sparser, less complex gut microbial ecological network (O)?</w:t>
      </w:r>
    </w:p>
    <w:p>
      <w:pPr>
        <w:spacing w:after="120"/>
      </w:pPr>
      <w:r>
        <w:rPr>
          <w:rFonts w:ascii="Calibri" w:cs="Calibri" w:eastAsia="Calibri" w:hAnsi="Calibri"/>
          <w:b/>
          <w:bCs/>
          <w:sz w:val="21"/>
          <w:szCs w:val="21"/>
        </w:rPr>
        <w:t xml:space="preserve">Q2 — Dataset /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Item</w:t>
            </w:r>
          </w:p>
        </w:tc>
        <w:tc>
          <w:tcPr>
            <w:tcW w:type="dxa" w:w="736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Detail</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Primary data type</w:t>
            </w:r>
          </w:p>
        </w:tc>
        <w:tc>
          <w:tcPr>
            <w:tcW w:type="dxa" w:w="73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16S rRNA gene amplicon sequencing (marker-gene / metabarcoding data) — not shotgun metagenomics. V3–V4 region amplified, sequenced on Illumina NovaSeq. Reads merged with FLASH, denoised with DADA2 into ASVs, processed in QIIME2 (v2022-2), taxonomy assigned against Greengenes 13_8.</w:t>
            </w:r>
          </w:p>
        </w:tc>
      </w:tr>
      <w:tr>
        <w:tc>
          <w:tcPr>
            <w:tcW w:type="dxa" w:w="20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Scale</w:t>
            </w:r>
          </w:p>
        </w:tc>
        <w:tc>
          <w:tcPr>
            <w:tcW w:type="dxa" w:w="73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136 samples used for the eczema analysis; mean 88,405 merged reads per sample (min 54,615; max 124,965). Longitudinal design: 4 time points per infant.</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Second data type</w:t>
            </w:r>
          </w:p>
        </w:tc>
        <w:tc>
          <w:tcPr>
            <w:tcW w:type="dxa" w:w="73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Structured clinical / phenotype metadata (tabular): infant sex, birth weight, length, head circumference, Apgar, fetal position, feeding status; maternal age, pre-pregnancy and pre-delivery BMI, weight gain, fasting glucose, OGTT 1 h and 2 h glucose, total cholesterol, triglyceride, creatinine.</w:t>
            </w:r>
          </w:p>
        </w:tc>
      </w:tr>
      <w:tr>
        <w:tc>
          <w:tcPr>
            <w:tcW w:type="dxa" w:w="20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Third data type (validation)</w:t>
            </w:r>
          </w:p>
        </w:tc>
        <w:tc>
          <w:tcPr>
            <w:tcW w:type="dxa" w:w="73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Publicly available longitudinal 16S rRNA amplicon datasets from two independent European infant cohorts (Roswall et al., Sweden; Christensen et al., Denmark) — 16 healthy infants randomly selected.</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Derived data</w:t>
            </w:r>
          </w:p>
        </w:tc>
        <w:tc>
          <w:tcPr>
            <w:tcW w:type="dxa" w:w="73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ASV abundance tables → family-level co-occurrence / molecular ecological networks (graph objects) → network topology index tables.</w:t>
            </w:r>
          </w:p>
        </w:tc>
      </w:tr>
      <w:tr>
        <w:tc>
          <w:tcPr>
            <w:tcW w:type="dxa" w:w="20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Availability (accession)</w:t>
            </w:r>
          </w:p>
        </w:tc>
        <w:tc>
          <w:tcPr>
            <w:tcW w:type="dxa" w:w="73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Raw 16S data: National Microbiology Data Center (NMDC), BioProject NMDC10018172. Analysis code: GitHub, xielab2017/EasyMicroPlot.</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Statistics</w:t>
            </w:r>
          </w:p>
        </w:tc>
        <w:tc>
          <w:tcPr>
            <w:tcW w:type="dxa" w:w="73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Wilcoxon / Student's t test, PCoA with permutation test, univariate screening (t test, Mann–Whitney, χ², Fisher exact) followed by multivariable logistic regression (Wald and likelihood-ratio tests).</w:t>
            </w:r>
          </w:p>
        </w:tc>
      </w:tr>
    </w:tbl>
    <w:p>
      <w:pPr>
        <w:spacing w:after="120"/>
      </w:pPr>
      <w:r>
        <w:rPr>
          <w:rFonts w:ascii="Calibri" w:cs="Calibri" w:eastAsia="Calibri" w:hAnsi="Calibri"/>
          <w:b/>
          <w:bCs/>
          <w:sz w:val="21"/>
          <w:szCs w:val="21"/>
        </w:rPr>
        <w:t xml:space="preserve">Q3 — Hypothesis</w:t>
      </w:r>
    </w:p>
    <w:p>
      <w:pPr>
        <w:spacing w:after="120"/>
      </w:pPr>
      <w:r>
        <w:rPr>
          <w:rFonts w:ascii="Calibri" w:cs="Calibri" w:eastAsia="Calibri" w:hAnsi="Calibri"/>
          <w:sz w:val="21"/>
          <w:szCs w:val="21"/>
        </w:rPr>
        <w:t xml:space="preserve">The paper states its hypothesis explicitly in the Discussion: “To test our hypothesis that rhythmic dynamic changes in early life are closely related to healthy infancy, we constructed MENs based on the ASVs at the family level of three independent data sets…”. A second, subsidiary hypothesis appears in the Methods: “we hypothesize that fetal stool samples are also associated with the immune formation during the fetal period and the network structure of meconium may be related to the onset of immune-related disease.”</w:t>
      </w:r>
    </w:p>
    <w:p>
      <w:pPr>
        <w:spacing w:after="120"/>
      </w:pPr>
      <w:r>
        <w:rPr>
          <w:rFonts w:ascii="Calibri" w:cs="Calibri" w:eastAsia="Calibri" w:hAnsi="Calibri"/>
          <w:b/>
          <w:bCs/>
          <w:sz w:val="21"/>
          <w:szCs w:val="21"/>
        </w:rPr>
        <w:t xml:space="preserve">Restated as a falsifiable claim:</w:t>
      </w:r>
    </w:p>
    <w:p>
      <w:pPr>
        <w:spacing w:after="120"/>
      </w:pPr>
      <w:r>
        <w:rPr>
          <w:rFonts w:ascii="Calibri" w:cs="Calibri" w:eastAsia="Calibri" w:hAnsi="Calibri"/>
          <w:sz w:val="21"/>
          <w:szCs w:val="21"/>
        </w:rPr>
        <w:t xml:space="preserve">H1 — Healthy infants of different ethnic backgrounds share a common rhythm in which gut microbial network complexity (edges, vertices, clusters, average degree, relative modularity) rises progressively over the first 100 days of life; infants who go on to develop eczema deviate from this rhythm and build a less dense, less complex and less stable network, together with a blunted rise in alpha diversity (InvSimpson).</w:t>
      </w:r>
    </w:p>
    <w:p>
      <w:pPr>
        <w:spacing w:after="120"/>
      </w:pPr>
      <w:r>
        <w:rPr>
          <w:rFonts w:ascii="Calibri" w:cs="Calibri" w:eastAsia="Calibri" w:hAnsi="Calibri"/>
          <w:sz w:val="21"/>
          <w:szCs w:val="21"/>
        </w:rPr>
        <w:t xml:space="preserve">H2 — Maternal metabolic status in late pregnancy (high triglyceride) is independently associated with the risk of infantile eczema after adjustment for pre-pregnancy and pre-delivery BMI.</w:t>
      </w:r>
    </w:p>
    <w:p>
      <w:pPr>
        <w:spacing w:after="240"/>
      </w:pPr>
      <w:r>
        <w:rPr>
          <w:rFonts w:ascii="Calibri" w:cs="Calibri" w:eastAsia="Calibri" w:hAnsi="Calibri"/>
          <w:i/>
          <w:iCs/>
          <w:sz w:val="21"/>
          <w:szCs w:val="21"/>
        </w:rPr>
        <w:t xml:space="preserve">Falsifiable because both make directional, measurable predictions: if the eczema group had shown equal or higher network density and equal alpha-diversity increase, or if TG had lost significance in the multivariable model, the hypothesis would have been rejected. (Observed: adjusted OR for TG = 3.41, 95% CI 1.13–10.25, p = 0.029.)</w:t>
      </w:r>
    </w:p>
    <w:p>
      <w:pPr>
        <w:pStyle w:val="Heading2"/>
        <w:spacing w:after="140" w:before="260"/>
      </w:pPr>
      <w:r>
        <w:rPr>
          <w:rFonts w:ascii="Calibri" w:cs="Calibri" w:eastAsia="Calibri" w:hAnsi="Calibri"/>
          <w:b/>
          <w:bCs/>
          <w:color w:val="5B2C86"/>
          <w:sz w:val="24"/>
          <w:szCs w:val="24"/>
        </w:rPr>
        <w:t xml:space="preserve">Paper B. Priya S, Burns MB, et al. Identification of shared and disease-specific host gene–microbiome associations across human diseases using multi-omic integration. Nature Microbiology 2022;7:780–795. DOI: 10.1038/s41564-022-01121-z</w:t>
      </w:r>
    </w:p>
    <w:p>
      <w:pPr>
        <w:spacing w:after="120"/>
      </w:pPr>
      <w:r>
        <w:rPr>
          <w:rFonts w:ascii="Calibri" w:cs="Calibri" w:eastAsia="Calibri" w:hAnsi="Calibri"/>
          <w:b/>
          <w:bCs/>
          <w:sz w:val="21"/>
          <w:szCs w:val="21"/>
        </w:rPr>
        <w:t xml:space="preserve">Q1 — PICO / PECO</w:t>
      </w:r>
    </w:p>
    <w:p>
      <w:pPr>
        <w:spacing w:after="120"/>
      </w:pPr>
      <w:r>
        <w:rPr>
          <w:rFonts w:ascii="Calibri" w:cs="Calibri" w:eastAsia="Calibri" w:hAnsi="Calibri"/>
          <w:i/>
          <w:iCs/>
          <w:sz w:val="21"/>
          <w:szCs w:val="21"/>
        </w:rPr>
        <w:t xml:space="preserve">Again observational — a cross-sectional multi-omic association study on existing biopsy cohorts — so PECO is the correct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Element</w:t>
            </w:r>
          </w:p>
        </w:tc>
        <w:tc>
          <w:tcPr>
            <w:tcW w:type="dxa" w:w="786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Content in this paper</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 (Population)</w:t>
            </w:r>
          </w:p>
        </w:tc>
        <w:tc>
          <w:tcPr>
            <w:tcW w:type="dxa" w:w="78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208 individuals contributing 208 paired colonic mucosal biopsy samples (416 sequencing samples in total) across three gastrointestinal disease cohorts:</w:t>
            </w:r>
          </w:p>
          <w:p>
            <w:pPr>
              <w:spacing w:after="40"/>
            </w:pPr>
            <w:r>
              <w:rPr>
                <w:rFonts w:ascii="Calibri" w:cs="Calibri" w:eastAsia="Calibri" w:hAnsi="Calibri"/>
                <w:b w:val="false"/>
                <w:bCs w:val="false"/>
                <w:sz w:val="20"/>
                <w:szCs w:val="20"/>
              </w:rPr>
              <w:t xml:space="preserve">• CRC: 88 paired samples from 44 patients (44 tumour + 44 patient-matched normal), 23 F / 21 M, mean age 65;</w:t>
            </w:r>
          </w:p>
          <w:p>
            <w:pPr>
              <w:spacing w:after="40"/>
            </w:pPr>
            <w:r>
              <w:rPr>
                <w:rFonts w:ascii="Calibri" w:cs="Calibri" w:eastAsia="Calibri" w:hAnsi="Calibri"/>
                <w:b w:val="false"/>
                <w:bCs w:val="false"/>
                <w:sz w:val="20"/>
                <w:szCs w:val="20"/>
              </w:rPr>
              <w:t xml:space="preserve">• IBD: 78 individuals (56 IBD — 34 Crohn's disease, 22 ulcerative colitis — and 22 non-IBD), from HMP2/IBDMDB;</w:t>
            </w:r>
          </w:p>
          <w:p>
            <w:pPr>
              <w:spacing w:after="40"/>
            </w:pPr>
            <w:r>
              <w:rPr>
                <w:rFonts w:ascii="Calibri" w:cs="Calibri" w:eastAsia="Calibri" w:hAnsi="Calibri"/>
                <w:b w:val="false"/>
                <w:bCs w:val="false"/>
                <w:sz w:val="20"/>
                <w:szCs w:val="20"/>
              </w:rPr>
              <w:t xml:space="preserve">• IBS: 42 individuals (29 IBS, 13 non-IBS), Mayo Clinic, 31 F / 11 M, mean age 38.</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 (Exposure)</w:t>
            </w:r>
          </w:p>
        </w:tc>
        <w:tc>
          <w:tcPr>
            <w:tcW w:type="dxa" w:w="78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abundance of mucosal gut microbial taxa measured in the same biopsy as the host transcriptome (i.e. microbiome composition is the exposure variable set), considered within each disease state (CRC / IBD / IBS).</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 (Comparison)</w:t>
            </w:r>
          </w:p>
        </w:tc>
        <w:tc>
          <w:tcPr>
            <w:tcW w:type="dxa" w:w="78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Two levels of comparison: (i) within cohort — patient-matched normal tissue (CRC), non-IBD controls, non-IBS controls; (ii) across cohorts — the three diseases are compared with each other to separate host pathways/associations that are shared by all three from those specific to one disease.</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 (Outcome)</w:t>
            </w:r>
          </w:p>
        </w:tc>
        <w:tc>
          <w:tcPr>
            <w:tcW w:type="dxa" w:w="78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Statistically supported host gene–microbe associations: significant sparse-CCA components linking gene sets to microbial sets; lasso-selected individual gene–microbe pairs; enriched host pathways (GI inflammation, gut barrier protection, energy metabolism); and the classification of each pathway/association as shared vs. disease-specific.</w:t>
            </w:r>
          </w:p>
        </w:tc>
      </w:tr>
    </w:tbl>
    <w:p>
      <w:pPr>
        <w:spacing w:after="200"/>
      </w:pPr>
      <w:r>
        <w:rPr>
          <w:rFonts w:ascii="Calibri" w:cs="Calibri" w:eastAsia="Calibri" w:hAnsi="Calibri"/>
          <w:b/>
          <w:bCs/>
          <w:i w:val="false"/>
          <w:iCs w:val="false"/>
          <w:sz w:val="21"/>
          <w:szCs w:val="21"/>
        </w:rPr>
        <w:t xml:space="preserve">One-sentence PECO question: </w:t>
      </w:r>
      <w:r>
        <w:rPr>
          <w:rFonts w:ascii="Calibri" w:cs="Calibri" w:eastAsia="Calibri" w:hAnsi="Calibri"/>
          <w:b w:val="false"/>
          <w:bCs w:val="false"/>
          <w:i w:val="false"/>
          <w:iCs w:val="false"/>
          <w:sz w:val="21"/>
          <w:szCs w:val="21"/>
        </w:rPr>
        <w:t xml:space="preserve">In colonic mucosal biopsies from patients with CRC, IBD or IBS (P), is the abundance of specific mucosal microbes (E), compared across diseases and against matched non-diseased tissue (C), associated with the expression of specific host genes and pathways, and are those associations shared across diseases or disease-specific (O)?</w:t>
      </w:r>
    </w:p>
    <w:p>
      <w:pPr>
        <w:spacing w:after="120"/>
      </w:pPr>
      <w:r>
        <w:rPr>
          <w:rFonts w:ascii="Calibri" w:cs="Calibri" w:eastAsia="Calibri" w:hAnsi="Calibri"/>
          <w:b/>
          <w:bCs/>
          <w:sz w:val="21"/>
          <w:szCs w:val="21"/>
        </w:rPr>
        <w:t xml:space="preserve">Q2 — Dataset /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Item</w:t>
            </w:r>
          </w:p>
        </w:tc>
        <w:tc>
          <w:tcPr>
            <w:tcW w:type="dxa" w:w="736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Detail</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 type 1 — host</w:t>
            </w:r>
          </w:p>
        </w:tc>
        <w:tc>
          <w:tcPr>
            <w:tcW w:type="dxa" w:w="73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Bulk host transcriptome: RNA-seq of colonic mucosal biopsies. CRC and IBS: Illumina HiSeq 2000, 101 bp paired-end; IBD: HiSeq 2000/2500, 101 bp paired-end (TruSeq stranded mRNA). Output = gene-level count matrix per disease cohort after filtering (biomaRt, expressed in ≥ half of samples).</w:t>
            </w:r>
          </w:p>
        </w:tc>
      </w:tr>
      <w:tr>
        <w:tc>
          <w:tcPr>
            <w:tcW w:type="dxa" w:w="20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 type 2 — microbiome</w:t>
            </w:r>
          </w:p>
        </w:tc>
        <w:tc>
          <w:tcPr>
            <w:tcW w:type="dxa" w:w="73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16S rRNA gene amplicon sequencing of the same biopsies. IBD and IBS: V4 region, Illumina MiSeq 2 × 250 bp paired-end; OTU tables (UPARSE for IBD, BURST/Shi7 for IBS). Output = taxonomic abundance matrix per cohort.</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Key design feature</w:t>
            </w:r>
          </w:p>
        </w:tc>
        <w:tc>
          <w:tcPr>
            <w:tcW w:type="dxa" w:w="73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Paired multi-omics — the two omics layers come from the same biopsy of the same individual, which is what makes the integration meaningful. 208 pairs total.</w:t>
            </w:r>
          </w:p>
        </w:tc>
      </w:tr>
      <w:tr>
        <w:tc>
          <w:tcPr>
            <w:tcW w:type="dxa" w:w="20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Origin of the data</w:t>
            </w:r>
          </w:p>
        </w:tc>
        <w:tc>
          <w:tcPr>
            <w:tcW w:type="dxa" w:w="73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Mostly re-use of previously published public data; only the CRC host RNA-seq was newly generated for this study. This is a computational/integrative study, not a new wet-lab cohort.</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Availability (accessions)</w:t>
            </w:r>
          </w:p>
        </w:tc>
        <w:tc>
          <w:tcPr>
            <w:tcW w:type="dxa" w:w="73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CRC host RNA-seq: SRA PRJNA816986 (new). CRC 16S: PRJNA284355. IBD 16S: PRJNA398089; IBD RNA-seq: GEO GSE111889. IBS 16S: PRJEB37924; IBS RNA-seq: GEO GSE146853.</w:t>
            </w:r>
          </w:p>
        </w:tc>
      </w:tr>
      <w:tr>
        <w:tc>
          <w:tcPr>
            <w:tcW w:type="dxa" w:w="20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Analysis methods</w:t>
            </w:r>
          </w:p>
        </w:tc>
        <w:tc>
          <w:tcPr>
            <w:tcW w:type="dxa" w:w="73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Procrustes analysis and Mantel test (global correspondence); sparse canonical correlation analysis (sparse CCA) with hyper-parameter tuning by LOOCV for group-level association; lasso penalised regression with stability selection for individual gene–microbe pairs; FDR multiple-testing correction; pathway enrichment; Fisher exact test for shared vs. disease-specific classification.</w:t>
            </w:r>
          </w:p>
        </w:tc>
      </w:tr>
    </w:tbl>
    <w:p>
      <w:pPr>
        <w:spacing w:after="120"/>
      </w:pPr>
      <w:r>
        <w:rPr>
          <w:rFonts w:ascii="Calibri" w:cs="Calibri" w:eastAsia="Calibri" w:hAnsi="Calibri"/>
          <w:b/>
          <w:bCs/>
          <w:sz w:val="21"/>
          <w:szCs w:val="21"/>
        </w:rPr>
        <w:t xml:space="preserve">Q3 — Hypothesis</w:t>
      </w:r>
    </w:p>
    <w:p>
      <w:pPr>
        <w:spacing w:after="120"/>
      </w:pPr>
      <w:r>
        <w:rPr>
          <w:rFonts w:ascii="Calibri" w:cs="Calibri" w:eastAsia="Calibri" w:hAnsi="Calibri"/>
          <w:sz w:val="21"/>
          <w:szCs w:val="21"/>
        </w:rPr>
        <w:t xml:space="preserve">Explicitly stated in the Results: “We hypothesized that host genes and gut microbial taxa involved in common biological functions would act in a coordinated fashion, and hence would have correlated expression and abundance patterns.”</w:t>
      </w:r>
    </w:p>
    <w:p>
      <w:pPr>
        <w:spacing w:after="120"/>
      </w:pPr>
      <w:r>
        <w:rPr>
          <w:rFonts w:ascii="Calibri" w:cs="Calibri" w:eastAsia="Calibri" w:hAnsi="Calibri"/>
          <w:b/>
          <w:bCs/>
          <w:sz w:val="21"/>
          <w:szCs w:val="21"/>
        </w:rPr>
        <w:t xml:space="preserve">Restated as falsifiable claims:</w:t>
      </w:r>
    </w:p>
    <w:p>
      <w:pPr>
        <w:spacing w:after="120"/>
      </w:pPr>
      <w:r>
        <w:rPr>
          <w:rFonts w:ascii="Calibri" w:cs="Calibri" w:eastAsia="Calibri" w:hAnsi="Calibri"/>
          <w:sz w:val="21"/>
          <w:szCs w:val="21"/>
        </w:rPr>
        <w:t xml:space="preserve">H1 — Host gene expression and mucosal microbial abundance are not correlated globally, but only in structured subsets: a subset of microbes is associated with a subset of host genes at the colonic epithelium. (Tested and supported: Procrustes was significant only in CRC, p = 1 × 10⁻⁴, and not in IBD, p = 0.1, or IBS, p = 0.42 — which is why a multivariate, sparse integration framework is needed instead of global or pairwise correlation.)</w:t>
      </w:r>
    </w:p>
    <w:p>
      <w:pPr>
        <w:spacing w:after="120"/>
      </w:pPr>
      <w:r>
        <w:rPr>
          <w:rFonts w:ascii="Calibri" w:cs="Calibri" w:eastAsia="Calibri" w:hAnsi="Calibri"/>
          <w:sz w:val="21"/>
          <w:szCs w:val="21"/>
        </w:rPr>
        <w:t xml:space="preserve">H2 — Across CRC, IBD and IBS there exists a common (shared) set of host genes and pathways — related to gastrointestinal inflammation, gut barrier protection and energy metabolism — that is nevertheless associated with different, disease-specific microbes.</w:t>
      </w:r>
    </w:p>
    <w:p>
      <w:pPr>
        <w:spacing w:after="120"/>
      </w:pPr>
      <w:r>
        <w:rPr>
          <w:rFonts w:ascii="Calibri" w:cs="Calibri" w:eastAsia="Calibri" w:hAnsi="Calibri"/>
          <w:sz w:val="21"/>
          <w:szCs w:val="21"/>
        </w:rPr>
        <w:t xml:space="preserve">H3 — The same microbe implicated in all three diseases (e.g. Streptococcus) associates with different host pathways in each disease, i.e. one microbe can affect host pathophysiology in a disease-specific manner by acting through different host genes.</w:t>
      </w:r>
    </w:p>
    <w:p>
      <w:pPr>
        <w:spacing w:after="240"/>
      </w:pPr>
      <w:r>
        <w:rPr>
          <w:rFonts w:ascii="Calibri" w:cs="Calibri" w:eastAsia="Calibri" w:hAnsi="Calibri"/>
          <w:i/>
          <w:iCs/>
          <w:sz w:val="21"/>
          <w:szCs w:val="21"/>
        </w:rPr>
        <w:t xml:space="preserve">Note the epistemic status: the whole framework yields associations, not causality. The authors are careful to say the microbes “may influence” disease outcomes. Any causal wording in your own summary would be a misattributed claim of exactly the kind the Week 2 lecture warns about.</w:t>
      </w:r>
    </w:p>
    <w:p>
      <w:pPr>
        <w:pStyle w:val="Heading2"/>
        <w:spacing w:after="140" w:before="260"/>
      </w:pPr>
      <w:r>
        <w:rPr>
          <w:rFonts w:ascii="Calibri" w:cs="Calibri" w:eastAsia="Calibri" w:hAnsi="Calibri"/>
          <w:b/>
          <w:bCs/>
          <w:color w:val="5B2C86"/>
          <w:sz w:val="24"/>
          <w:szCs w:val="24"/>
        </w:rPr>
        <w:t xml:space="preserve">Cross-paper comparison (useful for the discussion in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
            </w:r>
          </w:p>
        </w:tc>
        <w:tc>
          <w:tcPr>
            <w:tcW w:type="dxa" w:w="393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Paper A — iMeta 2023</w:t>
            </w:r>
          </w:p>
        </w:tc>
        <w:tc>
          <w:tcPr>
            <w:tcW w:type="dxa" w:w="393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Paper B — Nat Microbiol 2022</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Frame</w:t>
            </w:r>
          </w:p>
        </w:tc>
        <w:tc>
          <w:tcPr>
            <w:tcW w:type="dxa" w:w="39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PECO (prospective observational cohort)</w:t>
            </w:r>
          </w:p>
        </w:tc>
        <w:tc>
          <w:tcPr>
            <w:tcW w:type="dxa" w:w="39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PECO (cross-sectional multi-omic association)</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Omics layers</w:t>
            </w:r>
          </w:p>
        </w:tc>
        <w:tc>
          <w:tcPr>
            <w:tcW w:type="dxa" w:w="39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(16S) + clinical metadata</w:t>
            </w:r>
          </w:p>
        </w:tc>
        <w:tc>
          <w:tcPr>
            <w:tcW w:type="dxa" w:w="39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Two, paired (16S + host RNA-seq)</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Unit of analysis</w:t>
            </w:r>
          </w:p>
        </w:tc>
        <w:tc>
          <w:tcPr>
            <w:tcW w:type="dxa" w:w="39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network between taxa (edges), not single taxa</w:t>
            </w:r>
          </w:p>
        </w:tc>
        <w:tc>
          <w:tcPr>
            <w:tcW w:type="dxa" w:w="39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association between a host gene and a taxon</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Time</w:t>
            </w:r>
          </w:p>
        </w:tc>
        <w:tc>
          <w:tcPr>
            <w:tcW w:type="dxa" w:w="39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Longitudinal, 4 time points / 100 days</w:t>
            </w:r>
          </w:p>
        </w:tc>
        <w:tc>
          <w:tcPr>
            <w:tcW w:type="dxa" w:w="39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Single time point per subject</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Core novelty</w:t>
            </w:r>
          </w:p>
        </w:tc>
        <w:tc>
          <w:tcPr>
            <w:tcW w:type="dxa" w:w="39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Network topology as a health signature in early life</w:t>
            </w:r>
          </w:p>
        </w:tc>
        <w:tc>
          <w:tcPr>
            <w:tcW w:type="dxa" w:w="39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sparse-CCA + lasso framework separating shared from disease-specific host–microbe links</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Main limitation</w:t>
            </w:r>
          </w:p>
        </w:tc>
        <w:tc>
          <w:tcPr>
            <w:tcW w:type="dxa" w:w="39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Small n (22 vs 12), single centre, not population-based</w:t>
            </w:r>
          </w:p>
        </w:tc>
        <w:tc>
          <w:tcPr>
            <w:tcW w:type="dxa" w:w="39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Batch/protocol differences across three cohorts; association only, no causality</w:t>
            </w:r>
          </w:p>
        </w:tc>
      </w:tr>
    </w:tbl>
    <w:p>
      <w:pPr>
        <w:spacing w:after="200"/>
      </w:pPr>
    </w:p>
    <w:p>
      <w:pPr>
        <w:pStyle w:val="Heading1"/>
        <w:spacing w:after="140" w:before="260"/>
      </w:pPr>
      <w:r>
        <w:rPr>
          <w:rFonts w:ascii="Calibri" w:cs="Calibri" w:eastAsia="Calibri" w:hAnsi="Calibri"/>
          <w:b/>
          <w:bCs/>
          <w:color w:val="3F1C6B"/>
          <w:sz w:val="30"/>
          <w:szCs w:val="30"/>
        </w:rPr>
        <w:t xml:space="preserve">Part 2 — My own topic: refined PubMed search and two recent key papers</w:t>
      </w:r>
    </w:p>
    <w:p>
      <w:pPr>
        <w:pStyle w:val="Heading2"/>
        <w:spacing w:after="140" w:before="260"/>
      </w:pPr>
      <w:r>
        <w:rPr>
          <w:rFonts w:ascii="Calibri" w:cs="Calibri" w:eastAsia="Calibri" w:hAnsi="Calibri"/>
          <w:b/>
          <w:bCs/>
          <w:color w:val="5B2C86"/>
          <w:sz w:val="24"/>
          <w:szCs w:val="24"/>
        </w:rPr>
        <w:t xml:space="preserve">Step 1. Question funnel (six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Level</w:t>
            </w:r>
          </w:p>
        </w:tc>
        <w:tc>
          <w:tcPr>
            <w:tcW w:type="dxa" w:w="746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My answer</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Broad domain</w:t>
            </w:r>
          </w:p>
        </w:tc>
        <w:tc>
          <w:tcPr>
            <w:tcW w:type="dxa" w:w="74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Liver microenvironment in metabolic liver disease</w:t>
            </w:r>
          </w:p>
        </w:tc>
      </w:tr>
      <w:tr>
        <w:tc>
          <w:tcPr>
            <w:tcW w:type="dxa" w:w="19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 Sub-field</w:t>
            </w:r>
          </w:p>
        </w:tc>
        <w:tc>
          <w:tcPr>
            <w:tcW w:type="dxa" w:w="74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immune and vascular microenvironment of the liver in MASLD/MASH and its progression to hepatocellular carcinoma (HCC)</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 Phenomenon</w:t>
            </w:r>
          </w:p>
        </w:tc>
        <w:tc>
          <w:tcPr>
            <w:tcW w:type="dxa" w:w="74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cellular composition of the liver microenvironment changes progressively as MASLD advances to MASH and then to HCC, and this reprogramming appears to differ by disease aetiology</w:t>
            </w:r>
          </w:p>
        </w:tc>
      </w:tr>
      <w:tr>
        <w:tc>
          <w:tcPr>
            <w:tcW w:type="dxa" w:w="19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Testable hypothesis</w:t>
            </w:r>
          </w:p>
        </w:tc>
        <w:tc>
          <w:tcPr>
            <w:tcW w:type="dxa" w:w="74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MASLD/MASH liver microenvironment is progressively reprogrammed toward an immunosuppressive, poorly vascularised state, and specific cell-type-restricted genes mark that transition well enough to serve as prognostic biomarkers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 Operationalised question</w:t>
            </w:r>
          </w:p>
        </w:tc>
        <w:tc>
          <w:tcPr>
            <w:tcW w:type="dxa" w:w="74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Do the abundance and transcriptional state of hepatic immune and endothelial cell subsets differ between MASLD/MASH and control liver, and between MASLD-related and non-MASLD-related HCC?</w:t>
            </w:r>
          </w:p>
        </w:tc>
      </w:tr>
      <w:tr>
        <w:tc>
          <w:tcPr>
            <w:tcW w:type="dxa" w:w="19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 Data-driven question</w:t>
            </w:r>
          </w:p>
        </w:tc>
        <w:tc>
          <w:tcPr>
            <w:tcW w:type="dxa" w:w="74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 single-cell RNA-seq atlases of human and mouse liver, are MASLD-associated endothelial and myeloid programmes (e.g. FABP4, ApoE) differentially expressed between aetiologies, and do they predict CD8⁺ T-cell infiltration and survival in TCGA-LIHC after adjusting for stage?</w:t>
            </w:r>
          </w:p>
        </w:tc>
      </w:tr>
    </w:tbl>
    <w:p>
      <w:pPr>
        <w:pStyle w:val="Heading2"/>
        <w:spacing w:after="140" w:before="260"/>
      </w:pPr>
      <w:r>
        <w:rPr>
          <w:rFonts w:ascii="Calibri" w:cs="Calibri" w:eastAsia="Calibri" w:hAnsi="Calibri"/>
          <w:b/>
          <w:bCs/>
          <w:color w:val="5B2C86"/>
          <w:sz w:val="24"/>
          <w:szCs w:val="24"/>
        </w:rPr>
        <w:t xml:space="preserve">Step 2. Reproducible PubMed search string</w:t>
      </w:r>
    </w:p>
    <w:p>
      <w:pPr>
        <w:spacing w:after="120"/>
      </w:pPr>
      <w:r>
        <w:rPr>
          <w:rFonts w:ascii="Calibri" w:cs="Calibri" w:eastAsia="Calibri" w:hAnsi="Calibri"/>
          <w:sz w:val="21"/>
          <w:szCs w:val="21"/>
        </w:rPr>
        <w:t xml:space="preserve">Built concept by concept with MeSH terms, Boolean operators and field tags, as taught in Session 2:</w:t>
      </w:r>
    </w:p>
    <w:p>
      <w:pPr>
        <w:shd w:fill="1E1B2E" w:color="auto" w:val="clear"/>
        <w:spacing w:after="140" w:before="80"/>
      </w:pPr>
      <w:r>
        <w:rPr>
          <w:rFonts w:ascii="Consolas" w:cs="Consolas" w:eastAsia="Consolas" w:hAnsi="Consolas"/>
          <w:color w:val="FFFFFF"/>
          <w:sz w:val="18"/>
          <w:szCs w:val="18"/>
        </w:rPr>
        <w:t xml:space="preserve">("Non-alcoholic Fatty Liver Disease"[MeSH] OR MASLD[tiab] OR MASH[tiab] OR NASH[tiab] OR MAFLD[tiab]) AND (proteomic*[tiab] OR "Proteomics"[MeSH] OR "single-cell"[tiab] OR "spatial transcriptomics"[tiab]) AND (biomarker*[tiab] OR microenvironment[tiab]) AND ("2024"[dp] : "2026"[dp])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30"/>
        <w:gridCol w:w="4330"/>
      </w:tblGrid>
      <w:tr>
        <w:trPr>
          <w:tblHeader/>
        </w:trPr>
        <w:tc>
          <w:tcPr>
            <w:tcW w:type="dxa" w:w="13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Concept</w:t>
            </w:r>
          </w:p>
        </w:tc>
        <w:tc>
          <w:tcPr>
            <w:tcW w:type="dxa" w:w="373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Terms used</w:t>
            </w:r>
          </w:p>
        </w:tc>
        <w:tc>
          <w:tcPr>
            <w:tcW w:type="dxa" w:w="433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Why</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Disease</w:t>
            </w:r>
          </w:p>
        </w:tc>
        <w:tc>
          <w:tcPr>
            <w:tcW w:type="dxa" w:w="37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"Non-alcoholic Fatty Liver Disease"[MeSH] OR MASLD / MASH / NASH / MAFLD [tiab]</w:t>
            </w:r>
          </w:p>
        </w:tc>
        <w:tc>
          <w:tcPr>
            <w:tcW w:type="dxa" w:w="43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nomenclature changed in 2023 (NAFLD/NASH → MASLD/MASH). MeSH indexing lags behind new terms, so [tiab] synonyms are essential or the 2024–2026 papers are missed.</w:t>
            </w:r>
          </w:p>
        </w:tc>
      </w:tr>
      <w:tr>
        <w:tc>
          <w:tcPr>
            <w:tcW w:type="dxa" w:w="13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 Method / data type</w:t>
            </w:r>
          </w:p>
        </w:tc>
        <w:tc>
          <w:tcPr>
            <w:tcW w:type="dxa" w:w="37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proteomic*[tiab] OR "Proteomics"[MeSH] OR "single-cell"[tiab] OR "spatial transcriptomics"[tiab]</w:t>
            </w:r>
          </w:p>
        </w:tc>
        <w:tc>
          <w:tcPr>
            <w:tcW w:type="dxa" w:w="43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Restricts to the omics data types I can actually analyse; the truncation proteomic* covers proteomic / proteomics / proteomically.</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 Outcome concept</w:t>
            </w:r>
          </w:p>
        </w:tc>
        <w:tc>
          <w:tcPr>
            <w:tcW w:type="dxa" w:w="37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biomarker*[tiab] OR microenvironment[tiab]</w:t>
            </w:r>
          </w:p>
        </w:tc>
        <w:tc>
          <w:tcPr>
            <w:tcW w:type="dxa" w:w="433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Keeps the papers pointed at my question rather than at general pathophysiology.</w:t>
            </w:r>
          </w:p>
        </w:tc>
      </w:tr>
      <w:tr>
        <w:tc>
          <w:tcPr>
            <w:tcW w:type="dxa" w:w="13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Limits</w:t>
            </w:r>
          </w:p>
        </w:tc>
        <w:tc>
          <w:tcPr>
            <w:tcW w:type="dxa" w:w="37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("2024"[dp] : "2026"[dp])</w:t>
            </w:r>
          </w:p>
        </w:tc>
        <w:tc>
          <w:tcPr>
            <w:tcW w:type="dxa" w:w="433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Restricts to the current literature; my aim is the latest work, not a historical review.</w:t>
            </w:r>
          </w:p>
        </w:tc>
      </w:tr>
    </w:tbl>
    <w:p>
      <w:pPr>
        <w:spacing w:after="200"/>
      </w:pPr>
      <w:r>
        <w:rPr>
          <w:rFonts w:ascii="Calibri" w:cs="Calibri" w:eastAsia="Calibri" w:hAnsi="Calibri"/>
          <w:b/>
          <w:bCs/>
          <w:i w:val="false"/>
          <w:iCs w:val="false"/>
          <w:sz w:val="21"/>
          <w:szCs w:val="21"/>
        </w:rPr>
        <w:t xml:space="preserve">Result count: </w:t>
      </w:r>
      <w:r>
        <w:rPr>
          <w:rFonts w:ascii="Calibri" w:cs="Calibri" w:eastAsia="Calibri" w:hAnsi="Calibri"/>
          <w:b w:val="false"/>
          <w:bCs w:val="false"/>
          <w:i w:val="false"/>
          <w:iCs w:val="false"/>
          <w:sz w:val="21"/>
          <w:szCs w:val="21"/>
        </w:rPr>
        <w:t xml:space="preserve">181 records (search executed 6 September 2026, sorted by Best match, then re-sorted by Most recent for screening). </w:t>
      </w:r>
      <w:r>
        <w:rPr>
          <w:rFonts w:ascii="Calibri" w:cs="Calibri" w:eastAsia="Calibri" w:hAnsi="Calibri"/>
          <w:b/>
          <w:bCs/>
          <w:i w:val="false"/>
          <w:iCs w:val="false"/>
          <w:sz w:val="21"/>
          <w:szCs w:val="21"/>
        </w:rPr>
        <w:t xml:space="preserve">Refinement log: </w:t>
      </w:r>
      <w:r>
        <w:rPr>
          <w:rFonts w:ascii="Calibri" w:cs="Calibri" w:eastAsia="Calibri" w:hAnsi="Calibri"/>
          <w:b w:val="false"/>
          <w:bCs w:val="false"/>
          <w:i w:val="false"/>
          <w:iCs w:val="false"/>
          <w:sz w:val="21"/>
          <w:szCs w:val="21"/>
        </w:rPr>
        <w:t xml:space="preserve">the query without concept 3 returned an unmanageable set dominated by pathophysiology reviews; adding “biomarker* OR microenvironment” narrowed it to a screenable size. The date limit was applied last, so that the effect of each concept on the result count is documented.</w:t>
      </w:r>
    </w:p>
    <w:p>
      <w:pPr>
        <w:pStyle w:val="Heading2"/>
        <w:spacing w:after="140" w:before="260"/>
      </w:pPr>
      <w:r>
        <w:rPr>
          <w:rFonts w:ascii="Calibri" w:cs="Calibri" w:eastAsia="Calibri" w:hAnsi="Calibri"/>
          <w:b/>
          <w:bCs/>
          <w:color w:val="5B2C86"/>
          <w:sz w:val="24"/>
          <w:szCs w:val="24"/>
        </w:rPr>
        <w:t xml:space="preserve">Step 3. Screening and selection</w:t>
      </w:r>
    </w:p>
    <w:p>
      <w:pPr>
        <w:spacing w:after="120"/>
      </w:pPr>
      <w:r>
        <w:rPr>
          <w:rFonts w:ascii="Calibri" w:cs="Calibri" w:eastAsia="Calibri" w:hAnsi="Calibri"/>
          <w:sz w:val="21"/>
          <w:szCs w:val="21"/>
        </w:rPr>
        <w:t xml:space="preserve">Titles/abstracts of the top 20 were screened. Inclusion: primary research (not review), human or well-established mouse model, single-cell or proteomic data, liver microenvironment as the outcome, published 2025–2026, high-impact journal. Two papers were retained; each was verified on PubMed and by resolving its DOI before being cited (Week 2 rule: no citation enters the work unless the record was verified and at least the abstract was read).</w:t>
      </w:r>
    </w:p>
    <w:p>
      <w:pPr>
        <w:pStyle w:val="Heading2"/>
        <w:spacing w:after="140" w:before="260"/>
      </w:pPr>
      <w:r>
        <w:rPr>
          <w:rFonts w:ascii="Calibri" w:cs="Calibri" w:eastAsia="Calibri" w:hAnsi="Calibri"/>
          <w:b/>
          <w:bCs/>
          <w:color w:val="5B2C86"/>
          <w:sz w:val="24"/>
          <w:szCs w:val="24"/>
        </w:rPr>
        <w:t xml:space="preserve">Paper C. Zhang S, Xu H, Li M, et al. (senior author Zheng T). An etiology-stratified single-cell atlas identifies FABP4 as a prognostic marker for MASLD-related HCC. Journal of Hepatology 84(5):920–932 (online 6 Nov 2025). PMID 41205757; DOI: 10.1016/j.jhep.2025.10.026</w:t>
      </w:r>
    </w:p>
    <w:p>
      <w:pPr>
        <w:spacing w:after="120"/>
      </w:pPr>
      <w:r>
        <w:rPr>
          <w:rFonts w:ascii="Calibri" w:cs="Calibri" w:eastAsia="Calibri" w:hAnsi="Calibri"/>
          <w:b/>
          <w:bCs/>
          <w:sz w:val="21"/>
          <w:szCs w:val="21"/>
        </w:rPr>
        <w:t xml:space="preserve">Q1 — PICO / PECO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Element</w:t>
            </w:r>
          </w:p>
        </w:tc>
        <w:tc>
          <w:tcPr>
            <w:tcW w:type="dxa" w:w="786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Content</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 (Population)</w:t>
            </w:r>
          </w:p>
        </w:tc>
        <w:tc>
          <w:tcPr>
            <w:tcW w:type="dxa" w:w="78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Patients with hepatocellular carcinoma stratified by aetiology (HBV⁺/MASLD⁻, HBV⁻/MASLD⁺, HBV⁺/MASLD⁺, HBV⁻/MASLD⁻): 12 patients with paired tumour and adjacent tissue for scRNA-seq; 224 samples for immunohistochemistry validation; TCGA-LIHC plus two immunotherapy-treated HCC cohorts; plus MASLD-related HCC mouse models.</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 (Exposure)</w:t>
            </w:r>
          </w:p>
        </w:tc>
        <w:tc>
          <w:tcPr>
            <w:tcW w:type="dxa" w:w="78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Two nested exposures: (i) disease aetiology — presence of MASLD (and of HBV) as the background liver disease; (ii) high expression of FABP4 in tumour endothelial cells. In the mouse arm this becomes an intervention (I): pharmacological FABP4 inhibition with BMS309403 combined with anti-PD-1.</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 (Comparison)</w:t>
            </w:r>
          </w:p>
        </w:tc>
        <w:tc>
          <w:tcPr>
            <w:tcW w:type="dxa" w:w="78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Other aetiological groups (e.g. MASLD⁻ HCC, HBV⁻ HCC); low-FABP4 tumours; vehicle-treated mice; adjacent non-tumour tissue.</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 (Outcome)</w:t>
            </w:r>
          </w:p>
        </w:tc>
        <w:tc>
          <w:tcPr>
            <w:tcW w:type="dxa" w:w="78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Tumour microenvironment composition (CD8⁺ T-cell infiltration, macrophage abundance, M1-like signature, precursor-exhausted CD8⁺ T fraction, tumour-reactive/tumour-specific T-cell scores); vascular normalisation and associated stabilising/destabilising gene programmes (Notch1); response to immunotherapy; overall prognosis.</w:t>
            </w:r>
          </w:p>
        </w:tc>
      </w:tr>
    </w:tbl>
    <w:p>
      <w:pPr>
        <w:spacing w:after="120"/>
      </w:pPr>
      <w:r>
        <w:rPr>
          <w:rFonts w:ascii="Calibri" w:cs="Calibri" w:eastAsia="Calibri" w:hAnsi="Calibri"/>
          <w:b/>
          <w:bCs/>
          <w:sz w:val="21"/>
          <w:szCs w:val="21"/>
        </w:rPr>
        <w:t xml:space="preserve">Q2 — Dataset / data type</w:t>
      </w:r>
    </w:p>
    <w:p>
      <w:pPr>
        <w:spacing w:after="120"/>
      </w:pPr>
      <w:r>
        <w:rPr>
          <w:rFonts w:ascii="Calibri" w:cs="Calibri" w:eastAsia="Calibri" w:hAnsi="Calibri"/>
          <w:sz w:val="21"/>
          <w:szCs w:val="21"/>
        </w:rPr>
        <w:t xml:space="preserve">• Single-cell RNA sequencing of paired tumour and adjacent liver tissue from 12 HCC patients (the discovery layer).
• Bulk RNA-seq: TCGA-LIHC plus two published immunotherapy-treated HCC cohorts (the validation/prognosis layer).
• Protein-level tissue data: immunohistochemistry on 224 samples and multiplex immunohistochemistry (spatial protein data).
• Experimental data: in vitro assays and in vivo MASLD-related HCC mouse models with FABP4 inhibition plus anti-PD-1.
So: a multi-layer design in which single-cell transcriptomics generates the hypothesis, public bulk cohorts test its clinical value, and mouse experiments test causality.</w:t>
      </w:r>
    </w:p>
    <w:p>
      <w:pPr>
        <w:spacing w:after="120"/>
      </w:pPr>
      <w:r>
        <w:rPr>
          <w:rFonts w:ascii="Calibri" w:cs="Calibri" w:eastAsia="Calibri" w:hAnsi="Calibri"/>
          <w:b/>
          <w:bCs/>
          <w:sz w:val="21"/>
          <w:szCs w:val="21"/>
        </w:rPr>
        <w:t xml:space="preserve">Q3 — Hypothesis</w:t>
      </w:r>
    </w:p>
    <w:p>
      <w:pPr>
        <w:spacing w:after="120"/>
      </w:pPr>
      <w:r>
        <w:rPr>
          <w:rFonts w:ascii="Calibri" w:cs="Calibri" w:eastAsia="Calibri" w:hAnsi="Calibri"/>
          <w:sz w:val="21"/>
          <w:szCs w:val="21"/>
        </w:rPr>
        <w:t xml:space="preserve">H — The aetiology of the underlying chronic liver disease shapes a distinct HCC tumour immune microenvironment; specifically, in MASLD-related HCC, FABP4 is expressed predominantly in tumour endothelial cells under PPARγ control, where it promotes vascular normalisation and thereby CD8⁺ T-cell infiltration, so that high FABP4 marks patients more likely to benefit from immunotherapy and to have a better prognosis. Falsifiable prediction: blocking FABP4 should reduce vascular normalisation, reduce cytotoxic CD8⁺ T-cell infiltration and impair anti-PD-1 efficacy — which is what the mouse experiment tested.</w:t>
      </w:r>
    </w:p>
    <w:p>
      <w:pPr>
        <w:pStyle w:val="Heading2"/>
        <w:spacing w:after="140" w:before="260"/>
      </w:pPr>
      <w:r>
        <w:rPr>
          <w:rFonts w:ascii="Calibri" w:cs="Calibri" w:eastAsia="Calibri" w:hAnsi="Calibri"/>
          <w:b/>
          <w:bCs/>
          <w:color w:val="5B2C86"/>
          <w:sz w:val="24"/>
          <w:szCs w:val="24"/>
        </w:rPr>
        <w:t xml:space="preserve">Paper D. Huang Y, Xie Y, Zhang Y, et al. (senior author Lin XJ). Single-cell transcriptome reveals the reprogramming of immune microenvironment during the transition from MASH to HCC. Molecular Cancer 2025;24(1):177. PMID 40500691; PMC12153197; DOI: 10.1186/s12943-025-02370-2</w:t>
      </w:r>
    </w:p>
    <w:p>
      <w:pPr>
        <w:spacing w:after="120"/>
      </w:pPr>
      <w:r>
        <w:rPr>
          <w:rFonts w:ascii="Calibri" w:cs="Calibri" w:eastAsia="Calibri" w:hAnsi="Calibri"/>
          <w:b/>
          <w:bCs/>
          <w:sz w:val="21"/>
          <w:szCs w:val="21"/>
        </w:rPr>
        <w:t xml:space="preserve">Q1 — PICO / PECO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Element</w:t>
            </w:r>
          </w:p>
        </w:tc>
        <w:tc>
          <w:tcPr>
            <w:tcW w:type="dxa" w:w="7860"/>
            <w:shd w:fill="5B2C86"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Content</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 (Population)</w:t>
            </w:r>
          </w:p>
        </w:tc>
        <w:tc>
          <w:tcPr>
            <w:tcW w:type="dxa" w:w="78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STAM mice — a well-established model of MASH-driven HCC — at three stages: normal chow, MASH, and HCC (paired paracancerous and tumour tissue). Second arm: ApoE-deficient mice versus wild-type controls in the same STAM model.</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 / I</w:t>
            </w:r>
          </w:p>
        </w:tc>
        <w:tc>
          <w:tcPr>
            <w:tcW w:type="dxa" w:w="78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Exposure: the disease stage itself, i.e. progression along normal → MASH → HCC. Intervention (this arm is a true PICO): genetic ablation of apolipoprotein E (ApoE⁻/⁻).</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 (Comparison)</w:t>
            </w:r>
          </w:p>
        </w:tc>
        <w:tc>
          <w:tcPr>
            <w:tcW w:type="dxa" w:w="786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Normal-chow liver; patient-matched paracancerous tissue; wild-type littermates for the ApoE arm.</w:t>
            </w:r>
          </w:p>
        </w:tc>
      </w:tr>
      <w:tr>
        <w:tc>
          <w:tcPr>
            <w:tcW w:type="dxa" w:w="150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 (Outcome)</w:t>
            </w:r>
          </w:p>
        </w:tc>
        <w:tc>
          <w:tcPr>
            <w:tcW w:type="dxa" w:w="7860"/>
            <w:shd w:fill="F4EEFA"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Composition and state of hepatic CD45⁺ immune cells — 23 clusters across 9 populations from 31,822 cells: immunosuppressive/exhausted CD4⁺, CD8⁺ and γδ T-cell subsets, B-cell maturation into immunosuppressive cells, NK-cell abundance and activation, tumour-associated macrophages; plus ApoE expression across immune cells and, in the knockout arm, tumour burden and PI3K-AKT-NF-κB / PI3K-AKT-c-Jun/c-Fos pathway activity.</w:t>
            </w:r>
          </w:p>
        </w:tc>
      </w:tr>
    </w:tbl>
    <w:p>
      <w:pPr>
        <w:spacing w:after="120"/>
      </w:pPr>
      <w:r>
        <w:rPr>
          <w:rFonts w:ascii="Calibri" w:cs="Calibri" w:eastAsia="Calibri" w:hAnsi="Calibri"/>
          <w:b/>
          <w:bCs/>
          <w:sz w:val="21"/>
          <w:szCs w:val="21"/>
        </w:rPr>
        <w:t xml:space="preserve">Q2 — Dataset / data type</w:t>
      </w:r>
    </w:p>
    <w:p>
      <w:pPr>
        <w:spacing w:after="120"/>
      </w:pPr>
      <w:r>
        <w:rPr>
          <w:rFonts w:ascii="Calibri" w:cs="Calibri" w:eastAsia="Calibri" w:hAnsi="Calibri"/>
          <w:sz w:val="21"/>
          <w:szCs w:val="21"/>
        </w:rPr>
        <w:t xml:space="preserve">• Single-cell RNA sequencing of FACS-sorted CD45⁺ (immune) cells from mouse liver — 31,822 cells, three conditions; note the deliberate sorting step, which enriches the immune compartment at the cost of losing hepatocytes and stromal cells.
• Flow cytometry (protein, single-cell) and multiplexed immunohistochemistry (protein, spatial) as orthogonal validation of the scRNA-seq clusters.
• Mouse genetic data: ApoE knockout vs wild-type phenotyping.
All data are mouse, not human — this is the main external-validity limitation to state when citing it.</w:t>
      </w:r>
    </w:p>
    <w:p>
      <w:pPr>
        <w:spacing w:after="120"/>
      </w:pPr>
      <w:r>
        <w:rPr>
          <w:rFonts w:ascii="Calibri" w:cs="Calibri" w:eastAsia="Calibri" w:hAnsi="Calibri"/>
          <w:b/>
          <w:bCs/>
          <w:sz w:val="21"/>
          <w:szCs w:val="21"/>
        </w:rPr>
        <w:t xml:space="preserve">Q3 — Hypothesis</w:t>
      </w:r>
    </w:p>
    <w:p>
      <w:pPr>
        <w:spacing w:after="120"/>
      </w:pPr>
      <w:r>
        <w:rPr>
          <w:rFonts w:ascii="Calibri" w:cs="Calibri" w:eastAsia="Calibri" w:hAnsi="Calibri"/>
          <w:sz w:val="21"/>
          <w:szCs w:val="21"/>
        </w:rPr>
        <w:t xml:space="preserve">H1 — The hepatic immune microenvironment is progressively reprogrammed toward immunosuppression across the MASH-to-HCC transition: exhausted and regulatory T-cell states and tumour-associated macrophages accumulate while NK-cell number and activation fall.
H2 — ApoE, which is highly expressed by multiple immune cell types in MASH-related HCC, is a driver rather than a bystander of that transition, acting through ApoE-PI3K-AKT-NF-κB and ApoE-PI3K-AKT-c-Jun/c-Fos signalling; therefore ablating ApoE should impede MASH-driven hepatocarcinogenesis. (Falsifiable and tested by the knockout arm.)</w:t>
      </w:r>
    </w:p>
    <w:p>
      <w:pPr>
        <w:pStyle w:val="Heading2"/>
        <w:spacing w:after="140" w:before="260"/>
      </w:pPr>
      <w:r>
        <w:rPr>
          <w:rFonts w:ascii="Calibri" w:cs="Calibri" w:eastAsia="Calibri" w:hAnsi="Calibri"/>
          <w:b/>
          <w:bCs/>
          <w:color w:val="5B2C86"/>
          <w:sz w:val="24"/>
          <w:szCs w:val="24"/>
        </w:rPr>
        <w:t xml:space="preserve">Step 4. Where the two new papers leave a gap for me</w:t>
      </w:r>
    </w:p>
    <w:p>
      <w:pPr>
        <w:spacing w:after="120"/>
      </w:pPr>
      <w:r>
        <w:rPr>
          <w:rFonts w:ascii="Calibri" w:cs="Calibri" w:eastAsia="Calibri" w:hAnsi="Calibri"/>
          <w:sz w:val="21"/>
          <w:szCs w:val="21"/>
        </w:rPr>
        <w:t xml:space="preserve">Both papers characterise the liver microenvironment cell by cell, and both end at an association between one gene (FABP4, ApoE) and one cell type. Neither maps those cellular states onto the quantitative physicochemical parameters of the liver microenvironment — oxygen tension along the periportal–pericentral axis, pH, metabolite gradients, stiffness — which is the layer my own work is assembling. A defensible next question would therefore be: within published MASLD/MASH single-cell atlases, do the endothelial and myeloid states identified above segregate along the zonation axis, and can their marker programmes be anchored to measured zonal oxygen and metabolite gradients rather than to cluster identity alone?</w:t>
      </w:r>
    </w:p>
    <w:p>
      <w:pPr>
        <w:pStyle w:val="Heading2"/>
        <w:spacing w:after="140" w:before="260"/>
      </w:pPr>
      <w:r>
        <w:rPr>
          <w:rFonts w:ascii="Calibri" w:cs="Calibri" w:eastAsia="Calibri" w:hAnsi="Calibri"/>
          <w:b/>
          <w:bCs/>
          <w:color w:val="5B2C86"/>
          <w:sz w:val="24"/>
          <w:szCs w:val="24"/>
        </w:rPr>
        <w:t xml:space="preserve">Reference list (all records verified on PubMed; DOIs resolved before citing)</w:t>
      </w:r>
    </w:p>
    <w:p>
      <w:pPr>
        <w:spacing w:after="120"/>
      </w:pPr>
      <w:r>
        <w:rPr>
          <w:rFonts w:ascii="Calibri" w:cs="Calibri" w:eastAsia="Calibri" w:hAnsi="Calibri"/>
          <w:sz w:val="21"/>
          <w:szCs w:val="21"/>
        </w:rPr>
        <w:t xml:space="preserve">1. Huang L, Pan G, Feng Y, et al. Microbial network signatures of early colonizers in infants with eczema. iMeta. 2023;2(2):e90. doi:10.1002/imt2.90</w:t>
      </w:r>
    </w:p>
    <w:p>
      <w:pPr>
        <w:spacing w:after="120"/>
      </w:pPr>
      <w:r>
        <w:rPr>
          <w:rFonts w:ascii="Calibri" w:cs="Calibri" w:eastAsia="Calibri" w:hAnsi="Calibri"/>
          <w:sz w:val="21"/>
          <w:szCs w:val="21"/>
        </w:rPr>
        <w:t xml:space="preserve">2. Priya S, Burns MB, Ward T, et al. Identification of shared and disease-specific host gene–microbiome associations across human diseases using multi-omic integration. Nat Microbiol. 2022;7(6):780–795. doi:10.1038/s41564-022-01121-z</w:t>
      </w:r>
    </w:p>
    <w:p>
      <w:pPr>
        <w:spacing w:after="120"/>
      </w:pPr>
      <w:r>
        <w:rPr>
          <w:rFonts w:ascii="Calibri" w:cs="Calibri" w:eastAsia="Calibri" w:hAnsi="Calibri"/>
          <w:sz w:val="21"/>
          <w:szCs w:val="21"/>
        </w:rPr>
        <w:t xml:space="preserve">3. Zhang S, Xu H, Li M, Yuan G, Nie J, … Zheng T. An etiology-stratified single-cell atlas identifies FABP4 as a prognostic marker for MASLD-related HCC. J Hepatol. 84(5):920–932; published online 6 November 2025. PMID 41205757. doi:10.1016/j.jhep.2025.10.026 (16 authors; DOI resolves to Elsevier PII S0168827825026091)</w:t>
      </w:r>
    </w:p>
    <w:p>
      <w:pPr>
        <w:spacing w:after="120"/>
      </w:pPr>
      <w:r>
        <w:rPr>
          <w:rFonts w:ascii="Calibri" w:cs="Calibri" w:eastAsia="Calibri" w:hAnsi="Calibri"/>
          <w:sz w:val="21"/>
          <w:szCs w:val="21"/>
        </w:rPr>
        <w:t xml:space="preserve">4. Huang Y, Xie Y, Zhang Y, Liu Z, Jiang W, … Lin XJ. Single-cell transcriptome reveals the reprogramming of immune microenvironment during the transition from MASH to HCC. Mol Cancer. 2025;24(1):177. PMID 40500691. PMCID PMC12153197. doi:10.1186/s12943-025-02370-2 (10 authors; open access)</w:t>
      </w:r>
    </w:p>
    <w:p>
      <w:pPr>
        <w:spacing w:after="120"/>
      </w:pPr>
      <w:r>
        <w:rPr>
          <w:rFonts w:ascii="Calibri" w:cs="Calibri" w:eastAsia="Calibri" w:hAnsi="Calibri"/>
          <w:i/>
          <w:iCs/>
          <w:sz w:val="21"/>
          <w:szCs w:val="21"/>
        </w:rPr>
        <w:t xml:space="preserve">Literature identified via PubMed (https://pubmed.ncbi.nlm.nih.gov/); search executed 6 September 2026, 181 records. Verification performed for references 3 and 4: PubMed record retrieved (PMID, journal, volume, pages, author list, MeSH terms) and DOI resolved to the publisher landing page. Note for the marker: the J Hepatol issue year should be re-checked against the final print issue, as volume 84(5) postdates the 6 November 2025 online publication.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2026-09-06T14:12:19.629Z</dcterms:created>
  <dcterms:modified xsi:type="dcterms:W3CDTF">2026-09-06T14:12:19.640Z</dcterms:modified>
</cp:coreProperties>
</file>

<file path=docProps/custom.xml><?xml version="1.0" encoding="utf-8"?>
<Properties xmlns="http://schemas.openxmlformats.org/officeDocument/2006/custom-properties" xmlns:vt="http://schemas.openxmlformats.org/officeDocument/2006/docPropsVTypes"/>
</file>