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456C4">
      <w:pPr>
        <w:spacing w:after="80"/>
        <w:jc w:val="center"/>
        <w:rPr>
          <w:rFonts w:ascii="Arial" w:hAnsi="Arial" w:eastAsia="Calibri" w:cs="Arial"/>
          <w:b/>
          <w:bCs/>
          <w:color w:val="1F3864"/>
          <w:sz w:val="32"/>
          <w:szCs w:val="32"/>
        </w:rPr>
      </w:pPr>
      <w:r>
        <w:rPr>
          <w:rFonts w:ascii="Arial" w:hAnsi="Arial" w:eastAsia="Calibri" w:cs="Arial"/>
          <w:b/>
          <w:bCs/>
          <w:color w:val="1F3864"/>
          <w:sz w:val="32"/>
          <w:szCs w:val="32"/>
        </w:rPr>
        <w:t>Tasación automática de vehículos usados</w:t>
      </w:r>
    </w:p>
    <w:p w14:paraId="361DD663">
      <w:pPr>
        <w:spacing w:after="80"/>
        <w:jc w:val="center"/>
        <w:rPr>
          <w:rFonts w:ascii="Arial" w:hAnsi="Arial" w:eastAsia="Calibri" w:cs="Arial"/>
          <w:b/>
          <w:bCs/>
          <w:color w:val="1F3864"/>
          <w:sz w:val="32"/>
          <w:szCs w:val="32"/>
        </w:rPr>
      </w:pPr>
      <w:r>
        <w:rPr>
          <w:rFonts w:ascii="Arial" w:hAnsi="Arial" w:eastAsia="Calibri" w:cs="Arial"/>
          <w:b/>
          <w:bCs/>
          <w:color w:val="1F3864"/>
          <w:sz w:val="32"/>
          <w:szCs w:val="32"/>
        </w:rPr>
        <w:t xml:space="preserve">CONCLUSIONES </w:t>
      </w:r>
    </w:p>
    <w:p w14:paraId="154DB6B1">
      <w:pPr>
        <w:spacing w:after="80"/>
        <w:jc w:val="center"/>
        <w:rPr>
          <w:rFonts w:ascii="Arial" w:hAnsi="Arial" w:eastAsia="Calibri" w:cs="Arial"/>
          <w:b/>
          <w:bCs/>
          <w:color w:val="1F3864"/>
          <w:sz w:val="24"/>
          <w:szCs w:val="24"/>
        </w:rPr>
      </w:pPr>
    </w:p>
    <w:p w14:paraId="19281FEA">
      <w:pPr>
        <w:spacing w:after="80"/>
        <w:rPr>
          <w:rFonts w:ascii="Arial" w:hAnsi="Arial" w:cs="Arial"/>
          <w:b/>
          <w:bCs/>
          <w:sz w:val="24"/>
          <w:szCs w:val="24"/>
        </w:rPr>
      </w:pPr>
      <w:r>
        <w:rPr>
          <w:rFonts w:ascii="Arial" w:hAnsi="Arial" w:cs="Arial"/>
          <w:b/>
          <w:bCs/>
          <w:sz w:val="24"/>
          <w:szCs w:val="24"/>
        </w:rPr>
        <w:t>INTEGRANTES</w:t>
      </w:r>
    </w:p>
    <w:p w14:paraId="29A61185">
      <w:pPr>
        <w:spacing w:after="80"/>
        <w:rPr>
          <w:rFonts w:ascii="Arial" w:hAnsi="Arial" w:cs="Arial"/>
          <w:sz w:val="24"/>
          <w:szCs w:val="24"/>
        </w:rPr>
      </w:pPr>
      <w:r>
        <w:rPr>
          <w:rFonts w:ascii="Arial" w:hAnsi="Arial" w:cs="Arial"/>
          <w:sz w:val="24"/>
          <w:szCs w:val="24"/>
        </w:rPr>
        <w:t>SANTIAGO ARCILA GUTIERREZ</w:t>
      </w:r>
    </w:p>
    <w:p w14:paraId="40368F54">
      <w:pPr>
        <w:spacing w:after="80"/>
        <w:rPr>
          <w:rFonts w:ascii="Arial" w:hAnsi="Arial" w:cs="Arial"/>
          <w:sz w:val="24"/>
          <w:szCs w:val="24"/>
        </w:rPr>
      </w:pPr>
      <w:r>
        <w:rPr>
          <w:rFonts w:ascii="Arial" w:hAnsi="Arial" w:cs="Arial"/>
          <w:sz w:val="24"/>
          <w:szCs w:val="24"/>
        </w:rPr>
        <w:t>NATALIA FLORE</w:t>
      </w:r>
      <w:r>
        <w:rPr>
          <w:rFonts w:hint="default" w:ascii="Arial" w:hAnsi="Arial" w:cs="Arial"/>
          <w:sz w:val="24"/>
          <w:szCs w:val="24"/>
          <w:lang w:val="es-CO"/>
        </w:rPr>
        <w:t>Z</w:t>
      </w:r>
      <w:bookmarkStart w:id="0" w:name="_GoBack"/>
      <w:bookmarkEnd w:id="0"/>
      <w:r>
        <w:rPr>
          <w:rFonts w:ascii="Arial" w:hAnsi="Arial" w:cs="Arial"/>
          <w:sz w:val="24"/>
          <w:szCs w:val="24"/>
        </w:rPr>
        <w:t xml:space="preserve"> PEREZ</w:t>
      </w:r>
    </w:p>
    <w:p w14:paraId="312ECD28">
      <w:pPr>
        <w:spacing w:after="80"/>
        <w:rPr>
          <w:rFonts w:ascii="Arial" w:hAnsi="Arial" w:cs="Arial"/>
          <w:sz w:val="24"/>
          <w:szCs w:val="24"/>
        </w:rPr>
      </w:pPr>
      <w:r>
        <w:rPr>
          <w:rFonts w:ascii="Arial" w:hAnsi="Arial" w:cs="Arial"/>
          <w:sz w:val="24"/>
          <w:szCs w:val="24"/>
        </w:rPr>
        <w:t>ALEJANDRO RESTREPO URIBE</w:t>
      </w:r>
    </w:p>
    <w:p w14:paraId="09D29EA8">
      <w:pPr>
        <w:pStyle w:val="2"/>
        <w:spacing w:before="300" w:after="150"/>
        <w:rPr>
          <w:rFonts w:ascii="Arial" w:hAnsi="Arial" w:cs="Arial"/>
          <w:sz w:val="24"/>
          <w:szCs w:val="24"/>
        </w:rPr>
      </w:pPr>
      <w:r>
        <w:rPr>
          <w:rFonts w:ascii="Arial" w:hAnsi="Arial" w:eastAsia="Calibri" w:cs="Arial"/>
          <w:b/>
          <w:bCs/>
          <w:color w:val="1F3864"/>
          <w:sz w:val="24"/>
          <w:szCs w:val="24"/>
        </w:rPr>
        <w:t>1. Qué se hizo</w:t>
      </w:r>
    </w:p>
    <w:p w14:paraId="701D43E2">
      <w:pPr>
        <w:spacing w:after="140" w:line="276" w:lineRule="auto"/>
        <w:rPr>
          <w:rFonts w:ascii="Arial" w:hAnsi="Arial" w:cs="Arial"/>
          <w:sz w:val="24"/>
          <w:szCs w:val="24"/>
        </w:rPr>
      </w:pPr>
      <w:r>
        <w:rPr>
          <w:rFonts w:ascii="Arial" w:hAnsi="Arial" w:eastAsia="Calibri" w:cs="Arial"/>
          <w:sz w:val="24"/>
          <w:szCs w:val="24"/>
        </w:rPr>
        <w:t>Se analizaron cerca de 6.700 avisos reales de venta de vehículos usados y se construyó una herramienta que estima el valor de un carro a partir de sus características: año, kilometraje, motor, marca, combustible, transmisión y número de dueños anteriores.</w:t>
      </w:r>
    </w:p>
    <w:p w14:paraId="2DC21F6D">
      <w:pPr>
        <w:spacing w:after="140" w:line="276" w:lineRule="auto"/>
        <w:rPr>
          <w:rFonts w:ascii="Arial" w:hAnsi="Arial" w:cs="Arial"/>
          <w:sz w:val="24"/>
          <w:szCs w:val="24"/>
        </w:rPr>
      </w:pPr>
      <w:r>
        <w:rPr>
          <w:rFonts w:ascii="Arial" w:hAnsi="Arial" w:eastAsia="Calibri" w:cs="Arial"/>
          <w:sz w:val="24"/>
          <w:szCs w:val="24"/>
        </w:rPr>
        <w:t>Es, en esencia, lo que hace un tasador con experiencia. La diferencia es que la herramienta aplica al mismo tiempo todo lo observado en esos 6.700 casos, sin depender de cuáles recuerde mejor.</w:t>
      </w:r>
    </w:p>
    <w:p w14:paraId="0B3C68D9">
      <w:pPr>
        <w:spacing w:after="140" w:line="276" w:lineRule="auto"/>
        <w:rPr>
          <w:rFonts w:ascii="Arial" w:hAnsi="Arial" w:cs="Arial"/>
          <w:sz w:val="24"/>
          <w:szCs w:val="24"/>
        </w:rPr>
      </w:pPr>
      <w:r>
        <w:rPr>
          <w:rFonts w:ascii="Arial" w:hAnsi="Arial" w:eastAsia="Calibri" w:cs="Arial"/>
          <w:sz w:val="24"/>
          <w:szCs w:val="24"/>
        </w:rPr>
        <w:t>La herramienta responde dos preguntas distintas:</w:t>
      </w:r>
    </w:p>
    <w:p w14:paraId="278F14EA">
      <w:pPr>
        <w:pStyle w:val="17"/>
        <w:numPr>
          <w:ilvl w:val="0"/>
          <w:numId w:val="1"/>
        </w:numPr>
        <w:spacing w:after="90" w:line="276" w:lineRule="auto"/>
        <w:rPr>
          <w:rFonts w:ascii="Arial" w:hAnsi="Arial" w:cs="Arial"/>
          <w:sz w:val="24"/>
          <w:szCs w:val="24"/>
        </w:rPr>
      </w:pPr>
      <w:r>
        <w:rPr>
          <w:rFonts w:ascii="Arial" w:hAnsi="Arial" w:eastAsia="Calibri" w:cs="Arial"/>
          <w:sz w:val="24"/>
          <w:szCs w:val="24"/>
        </w:rPr>
        <w:t>¿Cuánto vale exactamente este carro?  Devuelve una cifra concreta.</w:t>
      </w:r>
    </w:p>
    <w:p w14:paraId="372224CF">
      <w:pPr>
        <w:pStyle w:val="17"/>
        <w:numPr>
          <w:ilvl w:val="0"/>
          <w:numId w:val="1"/>
        </w:numPr>
        <w:spacing w:after="90" w:line="276" w:lineRule="auto"/>
        <w:rPr>
          <w:rFonts w:ascii="Arial" w:hAnsi="Arial" w:cs="Arial"/>
          <w:sz w:val="24"/>
          <w:szCs w:val="24"/>
        </w:rPr>
      </w:pPr>
      <w:r>
        <w:rPr>
          <w:rFonts w:ascii="Arial" w:hAnsi="Arial" w:eastAsia="Calibri" w:cs="Arial"/>
          <w:sz w:val="24"/>
          <w:szCs w:val="24"/>
        </w:rPr>
        <w:t>¿En qué gama está? Lo ubica en gama baja, media o alta.</w:t>
      </w:r>
    </w:p>
    <w:p w14:paraId="33EADDD6">
      <w:pPr>
        <w:pStyle w:val="2"/>
        <w:spacing w:before="300" w:after="150"/>
        <w:rPr>
          <w:rFonts w:ascii="Arial" w:hAnsi="Arial" w:cs="Arial"/>
          <w:sz w:val="24"/>
          <w:szCs w:val="24"/>
        </w:rPr>
      </w:pPr>
      <w:r>
        <w:rPr>
          <w:rFonts w:ascii="Arial" w:hAnsi="Arial" w:eastAsia="Calibri" w:cs="Arial"/>
          <w:b/>
          <w:bCs/>
          <w:color w:val="1F3864"/>
          <w:sz w:val="24"/>
          <w:szCs w:val="24"/>
        </w:rPr>
        <w:t>2. Qué tan bien funciona</w:t>
      </w:r>
    </w:p>
    <w:p w14:paraId="544D1CE7">
      <w:pPr>
        <w:spacing w:after="140" w:line="276" w:lineRule="auto"/>
        <w:rPr>
          <w:rFonts w:ascii="Arial" w:hAnsi="Arial" w:cs="Arial"/>
          <w:sz w:val="24"/>
          <w:szCs w:val="24"/>
        </w:rPr>
      </w:pPr>
      <w:r>
        <w:rPr>
          <w:rFonts w:ascii="Arial" w:hAnsi="Arial" w:eastAsia="Calibri" w:cs="Arial"/>
          <w:sz w:val="24"/>
          <w:szCs w:val="24"/>
        </w:rPr>
        <w:t>En un vehículo típico, la estimación se desvía alrededor de un 12% del precio real. Visto sobre 100 carros tasados: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3400"/>
      </w:tblGrid>
      <w:tr w14:paraId="2A1A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F3864"/>
            <w:tcMar>
              <w:top w:w="80" w:type="dxa"/>
              <w:left w:w="120" w:type="dxa"/>
              <w:bottom w:w="80" w:type="dxa"/>
              <w:right w:w="120" w:type="dxa"/>
            </w:tcMar>
          </w:tcPr>
          <w:p w14:paraId="2D5AB2AB">
            <w:pPr>
              <w:rPr>
                <w:rFonts w:ascii="Arial" w:hAnsi="Arial" w:cs="Arial"/>
                <w:sz w:val="24"/>
                <w:szCs w:val="24"/>
              </w:rPr>
            </w:pPr>
            <w:r>
              <w:rPr>
                <w:rFonts w:ascii="Arial" w:hAnsi="Arial" w:eastAsia="Calibri" w:cs="Arial"/>
                <w:b/>
                <w:bCs/>
                <w:color w:val="FFFFFF"/>
                <w:sz w:val="24"/>
                <w:szCs w:val="24"/>
              </w:rPr>
              <w:t>Resultado</w:t>
            </w:r>
          </w:p>
        </w:tc>
        <w:tc>
          <w:tcPr>
            <w:tcW w:w="2400" w:type="dxa"/>
            <w:shd w:val="clear" w:color="auto" w:fill="1F3864"/>
            <w:tcMar>
              <w:top w:w="80" w:type="dxa"/>
              <w:left w:w="120" w:type="dxa"/>
              <w:bottom w:w="80" w:type="dxa"/>
              <w:right w:w="120" w:type="dxa"/>
            </w:tcMar>
          </w:tcPr>
          <w:p w14:paraId="0B85216B">
            <w:pPr>
              <w:rPr>
                <w:rFonts w:ascii="Arial" w:hAnsi="Arial" w:cs="Arial"/>
                <w:sz w:val="24"/>
                <w:szCs w:val="24"/>
              </w:rPr>
            </w:pPr>
            <w:r>
              <w:rPr>
                <w:rFonts w:ascii="Arial" w:hAnsi="Arial" w:eastAsia="Calibri" w:cs="Arial"/>
                <w:b/>
                <w:bCs/>
                <w:color w:val="FFFFFF"/>
                <w:sz w:val="24"/>
                <w:szCs w:val="24"/>
              </w:rPr>
              <w:t>De cada 100 carros</w:t>
            </w:r>
          </w:p>
        </w:tc>
        <w:tc>
          <w:tcPr>
            <w:tcW w:w="3400" w:type="dxa"/>
            <w:shd w:val="clear" w:color="auto" w:fill="1F3864"/>
            <w:tcMar>
              <w:top w:w="80" w:type="dxa"/>
              <w:left w:w="120" w:type="dxa"/>
              <w:bottom w:w="80" w:type="dxa"/>
              <w:right w:w="120" w:type="dxa"/>
            </w:tcMar>
          </w:tcPr>
          <w:p w14:paraId="0D5FAA71">
            <w:pPr>
              <w:rPr>
                <w:rFonts w:ascii="Arial" w:hAnsi="Arial" w:cs="Arial"/>
                <w:sz w:val="24"/>
                <w:szCs w:val="24"/>
              </w:rPr>
            </w:pPr>
            <w:r>
              <w:rPr>
                <w:rFonts w:ascii="Arial" w:hAnsi="Arial" w:eastAsia="Calibri" w:cs="Arial"/>
                <w:b/>
                <w:bCs/>
                <w:color w:val="FFFFFF"/>
                <w:sz w:val="24"/>
                <w:szCs w:val="24"/>
              </w:rPr>
              <w:t>Cómo leerlo</w:t>
            </w:r>
          </w:p>
        </w:tc>
      </w:tr>
      <w:tr w14:paraId="5717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4F7E7883">
            <w:pPr>
              <w:rPr>
                <w:rFonts w:ascii="Arial" w:hAnsi="Arial" w:cs="Arial"/>
                <w:sz w:val="24"/>
                <w:szCs w:val="24"/>
              </w:rPr>
            </w:pPr>
            <w:r>
              <w:rPr>
                <w:rFonts w:ascii="Arial" w:hAnsi="Arial" w:eastAsia="Calibri" w:cs="Arial"/>
                <w:sz w:val="24"/>
                <w:szCs w:val="24"/>
              </w:rPr>
              <w:t>Error menor al 10%</w:t>
            </w:r>
          </w:p>
        </w:tc>
        <w:tc>
          <w:tcPr>
            <w:tcW w:w="2400" w:type="dxa"/>
            <w:tcMar>
              <w:top w:w="80" w:type="dxa"/>
              <w:left w:w="120" w:type="dxa"/>
              <w:bottom w:w="80" w:type="dxa"/>
              <w:right w:w="120" w:type="dxa"/>
            </w:tcMar>
          </w:tcPr>
          <w:p w14:paraId="41E209FD">
            <w:pPr>
              <w:rPr>
                <w:rFonts w:ascii="Arial" w:hAnsi="Arial" w:cs="Arial"/>
                <w:sz w:val="24"/>
                <w:szCs w:val="24"/>
              </w:rPr>
            </w:pPr>
            <w:r>
              <w:rPr>
                <w:rFonts w:ascii="Arial" w:hAnsi="Arial" w:eastAsia="Calibri" w:cs="Arial"/>
                <w:sz w:val="24"/>
                <w:szCs w:val="24"/>
              </w:rPr>
              <w:t>46</w:t>
            </w:r>
          </w:p>
        </w:tc>
        <w:tc>
          <w:tcPr>
            <w:tcW w:w="3400" w:type="dxa"/>
            <w:tcMar>
              <w:top w:w="80" w:type="dxa"/>
              <w:left w:w="120" w:type="dxa"/>
              <w:bottom w:w="80" w:type="dxa"/>
              <w:right w:w="120" w:type="dxa"/>
            </w:tcMar>
          </w:tcPr>
          <w:p w14:paraId="17A604EE">
            <w:pPr>
              <w:rPr>
                <w:rFonts w:ascii="Arial" w:hAnsi="Arial" w:cs="Arial"/>
                <w:sz w:val="24"/>
                <w:szCs w:val="24"/>
              </w:rPr>
            </w:pPr>
            <w:r>
              <w:rPr>
                <w:rFonts w:ascii="Arial" w:hAnsi="Arial" w:eastAsia="Calibri" w:cs="Arial"/>
                <w:sz w:val="24"/>
                <w:szCs w:val="24"/>
              </w:rPr>
              <w:t>Tasación prácticamente lista para usar</w:t>
            </w:r>
          </w:p>
        </w:tc>
      </w:tr>
      <w:tr w14:paraId="769F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4AE01333">
            <w:pPr>
              <w:rPr>
                <w:rFonts w:ascii="Arial" w:hAnsi="Arial" w:cs="Arial"/>
                <w:sz w:val="24"/>
                <w:szCs w:val="24"/>
              </w:rPr>
            </w:pPr>
            <w:r>
              <w:rPr>
                <w:rFonts w:ascii="Arial" w:hAnsi="Arial" w:eastAsia="Calibri" w:cs="Arial"/>
                <w:sz w:val="24"/>
                <w:szCs w:val="24"/>
              </w:rPr>
              <w:t>Error entre 10% y 20%</w:t>
            </w:r>
          </w:p>
        </w:tc>
        <w:tc>
          <w:tcPr>
            <w:tcW w:w="2400" w:type="dxa"/>
            <w:tcMar>
              <w:top w:w="80" w:type="dxa"/>
              <w:left w:w="120" w:type="dxa"/>
              <w:bottom w:w="80" w:type="dxa"/>
              <w:right w:w="120" w:type="dxa"/>
            </w:tcMar>
          </w:tcPr>
          <w:p w14:paraId="114D6D03">
            <w:pPr>
              <w:rPr>
                <w:rFonts w:ascii="Arial" w:hAnsi="Arial" w:cs="Arial"/>
                <w:sz w:val="24"/>
                <w:szCs w:val="24"/>
              </w:rPr>
            </w:pPr>
            <w:r>
              <w:rPr>
                <w:rFonts w:ascii="Arial" w:hAnsi="Arial" w:eastAsia="Calibri" w:cs="Arial"/>
                <w:sz w:val="24"/>
                <w:szCs w:val="24"/>
              </w:rPr>
              <w:t>27</w:t>
            </w:r>
          </w:p>
        </w:tc>
        <w:tc>
          <w:tcPr>
            <w:tcW w:w="3400" w:type="dxa"/>
            <w:tcMar>
              <w:top w:w="80" w:type="dxa"/>
              <w:left w:w="120" w:type="dxa"/>
              <w:bottom w:w="80" w:type="dxa"/>
              <w:right w:w="120" w:type="dxa"/>
            </w:tcMar>
          </w:tcPr>
          <w:p w14:paraId="625BCBA1">
            <w:pPr>
              <w:rPr>
                <w:rFonts w:ascii="Arial" w:hAnsi="Arial" w:cs="Arial"/>
                <w:sz w:val="24"/>
                <w:szCs w:val="24"/>
              </w:rPr>
            </w:pPr>
            <w:r>
              <w:rPr>
                <w:rFonts w:ascii="Arial" w:hAnsi="Arial" w:eastAsia="Calibri" w:cs="Arial"/>
                <w:sz w:val="24"/>
                <w:szCs w:val="24"/>
              </w:rPr>
              <w:t>Sirve como punto de partida, requiere ajuste</w:t>
            </w:r>
          </w:p>
        </w:tc>
      </w:tr>
      <w:tr w14:paraId="3765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20" w:type="dxa"/>
              <w:bottom w:w="80" w:type="dxa"/>
              <w:right w:w="120" w:type="dxa"/>
            </w:tcMar>
          </w:tcPr>
          <w:p w14:paraId="68C39B1E">
            <w:pPr>
              <w:rPr>
                <w:rFonts w:ascii="Arial" w:hAnsi="Arial" w:cs="Arial"/>
                <w:sz w:val="24"/>
                <w:szCs w:val="24"/>
              </w:rPr>
            </w:pPr>
            <w:r>
              <w:rPr>
                <w:rFonts w:ascii="Arial" w:hAnsi="Arial" w:eastAsia="Calibri" w:cs="Arial"/>
                <w:sz w:val="24"/>
                <w:szCs w:val="24"/>
              </w:rPr>
              <w:t>Error mayor al 20%</w:t>
            </w:r>
          </w:p>
        </w:tc>
        <w:tc>
          <w:tcPr>
            <w:tcW w:w="2400" w:type="dxa"/>
            <w:tcMar>
              <w:top w:w="80" w:type="dxa"/>
              <w:left w:w="120" w:type="dxa"/>
              <w:bottom w:w="80" w:type="dxa"/>
              <w:right w:w="120" w:type="dxa"/>
            </w:tcMar>
          </w:tcPr>
          <w:p w14:paraId="3322B23B">
            <w:pPr>
              <w:rPr>
                <w:rFonts w:ascii="Arial" w:hAnsi="Arial" w:cs="Arial"/>
                <w:sz w:val="24"/>
                <w:szCs w:val="24"/>
              </w:rPr>
            </w:pPr>
            <w:r>
              <w:rPr>
                <w:rFonts w:ascii="Arial" w:hAnsi="Arial" w:eastAsia="Calibri" w:cs="Arial"/>
                <w:sz w:val="24"/>
                <w:szCs w:val="24"/>
              </w:rPr>
              <w:t>27</w:t>
            </w:r>
          </w:p>
        </w:tc>
        <w:tc>
          <w:tcPr>
            <w:tcW w:w="3400" w:type="dxa"/>
            <w:tcMar>
              <w:top w:w="80" w:type="dxa"/>
              <w:left w:w="120" w:type="dxa"/>
              <w:bottom w:w="80" w:type="dxa"/>
              <w:right w:w="120" w:type="dxa"/>
            </w:tcMar>
          </w:tcPr>
          <w:p w14:paraId="551C3D3A">
            <w:pPr>
              <w:rPr>
                <w:rFonts w:ascii="Arial" w:hAnsi="Arial" w:cs="Arial"/>
                <w:sz w:val="24"/>
                <w:szCs w:val="24"/>
              </w:rPr>
            </w:pPr>
            <w:r>
              <w:rPr>
                <w:rFonts w:ascii="Arial" w:hAnsi="Arial" w:eastAsia="Calibri" w:cs="Arial"/>
                <w:sz w:val="24"/>
                <w:szCs w:val="24"/>
              </w:rPr>
              <w:t>Requiere criterio del tasador</w:t>
            </w:r>
          </w:p>
        </w:tc>
      </w:tr>
    </w:tbl>
    <w:p w14:paraId="536906AE">
      <w:pPr>
        <w:spacing w:after="160" w:line="276" w:lineRule="auto"/>
        <w:rPr>
          <w:rFonts w:ascii="Arial" w:hAnsi="Arial" w:cs="Arial"/>
          <w:sz w:val="24"/>
          <w:szCs w:val="24"/>
        </w:rPr>
      </w:pPr>
    </w:p>
    <w:p w14:paraId="7F3212A8">
      <w:pPr>
        <w:spacing w:after="140" w:line="276" w:lineRule="auto"/>
        <w:rPr>
          <w:rFonts w:ascii="Arial" w:hAnsi="Arial" w:eastAsia="Calibri" w:cs="Arial"/>
          <w:sz w:val="24"/>
          <w:szCs w:val="24"/>
        </w:rPr>
      </w:pPr>
      <w:r>
        <w:rPr>
          <w:rFonts w:ascii="Arial" w:hAnsi="Arial" w:eastAsia="Calibri" w:cs="Arial"/>
          <w:sz w:val="24"/>
          <w:szCs w:val="24"/>
        </w:rPr>
        <w:t>Cuando en lugar del precio exacto solo se necesita saber la gama, el acierto sube a cerca del 84%. Y hay un detalle importante: los errores se dan casi siempre entre gamas vecinas. La herramienta puede dudar entre gama media y gama alta, pero prácticamente nunca confunde un carro económico con uno de lujo. La gama media es la más difícil, lo cual tiene sentido: está pegada a las otras dos por ambos lados.</w:t>
      </w:r>
    </w:p>
    <w:p w14:paraId="39820DEE">
      <w:pPr>
        <w:spacing w:after="140" w:line="276" w:lineRule="auto"/>
        <w:rPr>
          <w:rFonts w:ascii="Arial" w:hAnsi="Arial" w:eastAsia="Calibri" w:cs="Arial"/>
          <w:sz w:val="24"/>
          <w:szCs w:val="24"/>
        </w:rPr>
      </w:pPr>
    </w:p>
    <w:p w14:paraId="0CC6477E">
      <w:pPr>
        <w:spacing w:after="140" w:line="276" w:lineRule="auto"/>
        <w:rPr>
          <w:rFonts w:ascii="Arial" w:hAnsi="Arial" w:cs="Arial"/>
          <w:sz w:val="24"/>
          <w:szCs w:val="24"/>
        </w:rPr>
      </w:pPr>
    </w:p>
    <w:p w14:paraId="3F02A1E1">
      <w:pPr>
        <w:pStyle w:val="2"/>
        <w:spacing w:before="300" w:after="150"/>
        <w:rPr>
          <w:rFonts w:ascii="Arial" w:hAnsi="Arial" w:cs="Arial"/>
          <w:sz w:val="24"/>
          <w:szCs w:val="24"/>
        </w:rPr>
      </w:pPr>
      <w:r>
        <w:rPr>
          <w:rFonts w:ascii="Arial" w:hAnsi="Arial" w:eastAsia="Calibri" w:cs="Arial"/>
          <w:b/>
          <w:bCs/>
          <w:color w:val="1F3864"/>
          <w:sz w:val="24"/>
          <w:szCs w:val="24"/>
        </w:rPr>
        <w:t>3. Para qué sirve y para qué no</w:t>
      </w:r>
    </w:p>
    <w:p w14:paraId="63090F7A">
      <w:pPr>
        <w:spacing w:after="80" w:line="276" w:lineRule="auto"/>
        <w:rPr>
          <w:rFonts w:ascii="Arial" w:hAnsi="Arial" w:cs="Arial"/>
          <w:sz w:val="24"/>
          <w:szCs w:val="24"/>
        </w:rPr>
      </w:pPr>
      <w:r>
        <w:rPr>
          <w:rFonts w:ascii="Arial" w:hAnsi="Arial" w:eastAsia="Calibri" w:cs="Arial"/>
          <w:b/>
          <w:bCs/>
          <w:sz w:val="24"/>
          <w:szCs w:val="24"/>
        </w:rPr>
        <w:t>Sirve para:</w:t>
      </w:r>
    </w:p>
    <w:p w14:paraId="6DA393E2">
      <w:pPr>
        <w:pStyle w:val="17"/>
        <w:numPr>
          <w:ilvl w:val="0"/>
          <w:numId w:val="1"/>
        </w:numPr>
        <w:spacing w:after="90" w:line="276" w:lineRule="auto"/>
        <w:rPr>
          <w:rFonts w:ascii="Arial" w:hAnsi="Arial" w:cs="Arial"/>
          <w:sz w:val="24"/>
          <w:szCs w:val="24"/>
        </w:rPr>
      </w:pPr>
      <w:r>
        <w:rPr>
          <w:rFonts w:ascii="Arial" w:hAnsi="Arial" w:eastAsia="Calibri" w:cs="Arial"/>
          <w:sz w:val="24"/>
          <w:szCs w:val="24"/>
        </w:rPr>
        <w:t>Fijar un precio de arranque antes de negociar.</w:t>
      </w:r>
    </w:p>
    <w:p w14:paraId="376D39C4">
      <w:pPr>
        <w:pStyle w:val="17"/>
        <w:numPr>
          <w:ilvl w:val="0"/>
          <w:numId w:val="1"/>
        </w:numPr>
        <w:spacing w:after="90" w:line="276" w:lineRule="auto"/>
        <w:rPr>
          <w:rFonts w:ascii="Arial" w:hAnsi="Arial" w:cs="Arial"/>
          <w:sz w:val="24"/>
          <w:szCs w:val="24"/>
        </w:rPr>
      </w:pPr>
      <w:r>
        <w:rPr>
          <w:rFonts w:ascii="Arial" w:hAnsi="Arial" w:eastAsia="Calibri" w:cs="Arial"/>
          <w:sz w:val="24"/>
          <w:szCs w:val="24"/>
        </w:rPr>
        <w:t>Detectar vehículos que entran al inventario por debajo de su valor de mercado.</w:t>
      </w:r>
    </w:p>
    <w:p w14:paraId="744DE6FF">
      <w:pPr>
        <w:pStyle w:val="17"/>
        <w:numPr>
          <w:ilvl w:val="0"/>
          <w:numId w:val="1"/>
        </w:numPr>
        <w:spacing w:after="90" w:line="276" w:lineRule="auto"/>
        <w:rPr>
          <w:rFonts w:ascii="Arial" w:hAnsi="Arial" w:cs="Arial"/>
          <w:sz w:val="24"/>
          <w:szCs w:val="24"/>
        </w:rPr>
      </w:pPr>
      <w:r>
        <w:rPr>
          <w:rFonts w:ascii="Arial" w:hAnsi="Arial" w:eastAsia="Calibri" w:cs="Arial"/>
          <w:sz w:val="24"/>
          <w:szCs w:val="24"/>
        </w:rPr>
        <w:t>Revisar si una oferta recibida se salió del rango razonable.</w:t>
      </w:r>
    </w:p>
    <w:p w14:paraId="6BA3B9D2">
      <w:pPr>
        <w:pStyle w:val="17"/>
        <w:numPr>
          <w:ilvl w:val="0"/>
          <w:numId w:val="1"/>
        </w:numPr>
        <w:spacing w:after="90" w:line="276" w:lineRule="auto"/>
        <w:rPr>
          <w:rFonts w:ascii="Arial" w:hAnsi="Arial" w:cs="Arial"/>
          <w:sz w:val="24"/>
          <w:szCs w:val="24"/>
        </w:rPr>
      </w:pPr>
      <w:r>
        <w:rPr>
          <w:rFonts w:ascii="Arial" w:hAnsi="Arial" w:eastAsia="Calibri" w:cs="Arial"/>
          <w:sz w:val="24"/>
          <w:szCs w:val="24"/>
        </w:rPr>
        <w:t>Estimar el valor de un inventario completo en pocos segundos.</w:t>
      </w:r>
    </w:p>
    <w:p w14:paraId="031CB0CB">
      <w:pPr>
        <w:spacing w:after="80" w:line="276" w:lineRule="auto"/>
        <w:rPr>
          <w:rFonts w:ascii="Arial" w:hAnsi="Arial" w:cs="Arial"/>
          <w:sz w:val="24"/>
          <w:szCs w:val="24"/>
        </w:rPr>
      </w:pPr>
      <w:r>
        <w:rPr>
          <w:rFonts w:ascii="Arial" w:hAnsi="Arial" w:eastAsia="Calibri" w:cs="Arial"/>
          <w:b/>
          <w:bCs/>
          <w:sz w:val="24"/>
          <w:szCs w:val="24"/>
        </w:rPr>
        <w:t>No sirve para:</w:t>
      </w:r>
    </w:p>
    <w:p w14:paraId="7EB706D4">
      <w:pPr>
        <w:pStyle w:val="17"/>
        <w:numPr>
          <w:ilvl w:val="0"/>
          <w:numId w:val="1"/>
        </w:numPr>
        <w:spacing w:after="90" w:line="276" w:lineRule="auto"/>
        <w:rPr>
          <w:rFonts w:ascii="Arial" w:hAnsi="Arial" w:cs="Arial"/>
          <w:sz w:val="24"/>
          <w:szCs w:val="24"/>
        </w:rPr>
      </w:pPr>
      <w:r>
        <w:rPr>
          <w:rFonts w:ascii="Arial" w:hAnsi="Arial" w:eastAsia="Calibri" w:cs="Arial"/>
          <w:sz w:val="24"/>
          <w:szCs w:val="24"/>
        </w:rPr>
        <w:t>Reemplazar la inspección física. La herramienta no sabe si el carro tuvo un choque, si el motor está sano o si la pintura es original.</w:t>
      </w:r>
    </w:p>
    <w:p w14:paraId="4E8DDDDD">
      <w:pPr>
        <w:pStyle w:val="17"/>
        <w:numPr>
          <w:ilvl w:val="0"/>
          <w:numId w:val="1"/>
        </w:numPr>
        <w:spacing w:after="90" w:line="276" w:lineRule="auto"/>
        <w:rPr>
          <w:rFonts w:ascii="Arial" w:hAnsi="Arial" w:cs="Arial"/>
          <w:sz w:val="24"/>
          <w:szCs w:val="24"/>
        </w:rPr>
      </w:pPr>
      <w:r>
        <w:rPr>
          <w:rFonts w:ascii="Arial" w:hAnsi="Arial" w:eastAsia="Calibri" w:cs="Arial"/>
          <w:sz w:val="24"/>
          <w:szCs w:val="24"/>
        </w:rPr>
        <w:t>Tasar vehículos poco comunes: marcas de lujo, carros a gas o modelos muy antiguos, donde hay pocos casos de referencia.</w:t>
      </w:r>
    </w:p>
    <w:p w14:paraId="338558F4">
      <w:pPr>
        <w:pStyle w:val="17"/>
        <w:numPr>
          <w:ilvl w:val="0"/>
          <w:numId w:val="1"/>
        </w:numPr>
        <w:spacing w:after="90" w:line="276" w:lineRule="auto"/>
        <w:rPr>
          <w:rFonts w:ascii="Arial" w:hAnsi="Arial" w:cs="Arial"/>
          <w:sz w:val="24"/>
          <w:szCs w:val="24"/>
        </w:rPr>
      </w:pPr>
      <w:r>
        <w:rPr>
          <w:rFonts w:ascii="Arial" w:hAnsi="Arial" w:eastAsia="Calibri" w:cs="Arial"/>
          <w:sz w:val="24"/>
          <w:szCs w:val="24"/>
        </w:rPr>
        <w:t>Tomar la decisión final de compra por sí sola.</w:t>
      </w:r>
    </w:p>
    <w:p w14:paraId="1DB2512C">
      <w:pPr>
        <w:pStyle w:val="2"/>
        <w:spacing w:before="300" w:after="150"/>
        <w:rPr>
          <w:rFonts w:ascii="Arial" w:hAnsi="Arial" w:cs="Arial"/>
          <w:sz w:val="24"/>
          <w:szCs w:val="24"/>
        </w:rPr>
      </w:pPr>
      <w:r>
        <w:rPr>
          <w:rFonts w:ascii="Arial" w:hAnsi="Arial" w:eastAsia="Calibri" w:cs="Arial"/>
          <w:b/>
          <w:bCs/>
          <w:color w:val="1F3864"/>
          <w:sz w:val="24"/>
          <w:szCs w:val="24"/>
        </w:rPr>
        <w:t>4. El hallazgo principal</w:t>
      </w:r>
    </w:p>
    <w:p w14:paraId="5CE0D83A">
      <w:pPr>
        <w:spacing w:after="140" w:line="276" w:lineRule="auto"/>
        <w:rPr>
          <w:rFonts w:ascii="Arial" w:hAnsi="Arial" w:cs="Arial"/>
          <w:sz w:val="24"/>
          <w:szCs w:val="24"/>
        </w:rPr>
      </w:pPr>
      <w:r>
        <w:rPr>
          <w:rFonts w:ascii="Arial" w:hAnsi="Arial" w:eastAsia="Calibri" w:cs="Arial"/>
          <w:sz w:val="24"/>
          <w:szCs w:val="24"/>
        </w:rPr>
        <w:t>Antes de analizar los datos, el equipo apostó a que los dos factores decisivos serían la edad del vehículo y el kilometraje.</w:t>
      </w:r>
    </w:p>
    <w:p w14:paraId="38D421B5">
      <w:pPr>
        <w:spacing w:after="140" w:line="276" w:lineRule="auto"/>
        <w:rPr>
          <w:rFonts w:ascii="Arial" w:hAnsi="Arial" w:cs="Arial"/>
          <w:sz w:val="24"/>
          <w:szCs w:val="24"/>
        </w:rPr>
      </w:pPr>
      <w:r>
        <w:rPr>
          <w:rFonts w:ascii="Arial" w:hAnsi="Arial" w:eastAsia="Calibri" w:cs="Arial"/>
          <w:b/>
          <w:bCs/>
          <w:sz w:val="24"/>
          <w:szCs w:val="24"/>
        </w:rPr>
        <w:t xml:space="preserve">Acertamos en el primero: </w:t>
      </w:r>
      <w:r>
        <w:rPr>
          <w:rFonts w:ascii="Arial" w:hAnsi="Arial" w:eastAsia="Calibri" w:cs="Arial"/>
          <w:sz w:val="24"/>
          <w:szCs w:val="24"/>
        </w:rPr>
        <w:t>la edad es efectivamente lo que más pesa. En el segundo nos equivocamos. Lo que sigue en importancia no es el kilometraje sino el tamaño y la potencia del motor.</w:t>
      </w:r>
    </w:p>
    <w:p w14:paraId="3D1DE12A">
      <w:pPr>
        <w:spacing w:after="140" w:line="276" w:lineRule="auto"/>
        <w:rPr>
          <w:rFonts w:ascii="Arial" w:hAnsi="Arial" w:cs="Arial"/>
          <w:sz w:val="24"/>
          <w:szCs w:val="24"/>
        </w:rPr>
      </w:pPr>
      <w:r>
        <w:rPr>
          <w:rFonts w:ascii="Arial" w:hAnsi="Arial" w:eastAsia="Calibri" w:cs="Arial"/>
          <w:sz w:val="24"/>
          <w:szCs w:val="24"/>
        </w:rPr>
        <w:t>Traducido al negocio: la edad explica cuánto se deprecia un carro dentro de su categoría, pero el motor define en qué categoría está. Un carro pequeño de diez años y uno de tres se diferencian por depreciación. Un carro pequeño y una camioneta son dos mercados distintos, y la brecha entre mercados es mayor que la depreciación dentro de uno.</w:t>
      </w:r>
    </w:p>
    <w:p w14:paraId="3E53DBE1">
      <w:pPr>
        <w:spacing w:after="140" w:line="276" w:lineRule="auto"/>
        <w:rPr>
          <w:rFonts w:ascii="Arial" w:hAnsi="Arial" w:cs="Arial"/>
          <w:sz w:val="24"/>
          <w:szCs w:val="24"/>
        </w:rPr>
      </w:pPr>
      <w:r>
        <w:rPr>
          <w:rFonts w:ascii="Arial" w:hAnsi="Arial" w:eastAsia="Calibri" w:cs="Arial"/>
          <w:b/>
          <w:bCs/>
          <w:sz w:val="24"/>
          <w:szCs w:val="24"/>
        </w:rPr>
        <w:t xml:space="preserve">Implicación práctica: </w:t>
      </w:r>
      <w:r>
        <w:rPr>
          <w:rFonts w:ascii="Arial" w:hAnsi="Arial" w:eastAsia="Calibri" w:cs="Arial"/>
          <w:sz w:val="24"/>
          <w:szCs w:val="24"/>
        </w:rPr>
        <w:t>Al tasar conviene primero ubicar el vehículo en su segmento y después ajustar por uso.</w:t>
      </w:r>
      <w:r>
        <w:rPr>
          <w:rFonts w:ascii="Arial" w:hAnsi="Arial" w:eastAsia="Calibri" w:cs="Arial"/>
          <w:b/>
          <w:bCs/>
          <w:sz w:val="24"/>
          <w:szCs w:val="24"/>
        </w:rPr>
        <w:t xml:space="preserve"> </w:t>
      </w:r>
      <w:r>
        <w:rPr>
          <w:rFonts w:ascii="Arial" w:hAnsi="Arial" w:eastAsia="Calibri" w:cs="Arial"/>
          <w:sz w:val="24"/>
          <w:szCs w:val="24"/>
        </w:rPr>
        <w:t>Aplicar el mismo descuento porcentual por año a todo el inventario es un error, porque no todos los segmentos se deprecian al mismo ritmo.</w:t>
      </w:r>
    </w:p>
    <w:p w14:paraId="3227157D">
      <w:pPr>
        <w:spacing w:after="140" w:line="276" w:lineRule="auto"/>
        <w:rPr>
          <w:rFonts w:ascii="Arial" w:hAnsi="Arial" w:cs="Arial"/>
          <w:sz w:val="24"/>
          <w:szCs w:val="24"/>
        </w:rPr>
      </w:pPr>
      <w:r>
        <w:rPr>
          <w:rFonts w:ascii="Arial" w:hAnsi="Arial" w:eastAsia="Calibri" w:cs="Arial"/>
          <w:sz w:val="24"/>
          <w:szCs w:val="24"/>
        </w:rPr>
        <w:t>Una advertencia para no sobrevender el hallazgo: que el kilometraje aparezca bajo en el ranking no significa que no importe. Significa que la herramienta ya obtiene esa información por otra vía, principalmente a través de la edad del vehículo, que va muy de la mano con los kilómetros recorridos. En una tasación manual el kilometraje sigue siendo un dato que hay que mirar.</w:t>
      </w:r>
    </w:p>
    <w:p w14:paraId="20703294">
      <w:pPr>
        <w:pStyle w:val="2"/>
        <w:spacing w:before="300" w:after="150"/>
        <w:rPr>
          <w:rFonts w:ascii="Arial" w:hAnsi="Arial" w:cs="Arial"/>
          <w:sz w:val="24"/>
          <w:szCs w:val="24"/>
        </w:rPr>
      </w:pPr>
      <w:r>
        <w:rPr>
          <w:rFonts w:ascii="Arial" w:hAnsi="Arial" w:eastAsia="Calibri" w:cs="Arial"/>
          <w:b/>
          <w:bCs/>
          <w:color w:val="1F3864"/>
          <w:sz w:val="24"/>
          <w:szCs w:val="24"/>
        </w:rPr>
        <w:t>5. Otros dos resultados útiles</w:t>
      </w:r>
    </w:p>
    <w:p w14:paraId="0B512D43">
      <w:pPr>
        <w:spacing w:after="140" w:line="276" w:lineRule="auto"/>
        <w:rPr>
          <w:rFonts w:ascii="Arial" w:hAnsi="Arial" w:cs="Arial"/>
          <w:sz w:val="24"/>
          <w:szCs w:val="24"/>
        </w:rPr>
      </w:pPr>
      <w:r>
        <w:rPr>
          <w:rFonts w:ascii="Arial" w:hAnsi="Arial" w:eastAsia="Calibri" w:cs="Arial"/>
          <w:b/>
          <w:bCs/>
          <w:sz w:val="24"/>
          <w:szCs w:val="24"/>
        </w:rPr>
        <w:t xml:space="preserve">La depreciación no es lineal. </w:t>
      </w:r>
      <w:r>
        <w:rPr>
          <w:rFonts w:ascii="Arial" w:hAnsi="Arial" w:eastAsia="Calibri" w:cs="Arial"/>
          <w:sz w:val="24"/>
          <w:szCs w:val="24"/>
        </w:rPr>
        <w:t>La caída fuerte de valor ocurre en los primeros años; después de aproximadamente diez, el precio se estabiliza. Comprar un carro de doce años en lugar de uno de diez casi no cambia el precio de compra, pero sí cambia el riesgo mecánico.</w:t>
      </w:r>
    </w:p>
    <w:p w14:paraId="4442207B">
      <w:pPr>
        <w:spacing w:after="140" w:line="276" w:lineRule="auto"/>
        <w:rPr>
          <w:rFonts w:ascii="Arial" w:hAnsi="Arial" w:cs="Arial"/>
          <w:sz w:val="24"/>
          <w:szCs w:val="24"/>
        </w:rPr>
      </w:pPr>
      <w:r>
        <w:rPr>
          <w:rFonts w:ascii="Arial" w:hAnsi="Arial" w:eastAsia="Calibri" w:cs="Arial"/>
          <w:b/>
          <w:bCs/>
          <w:sz w:val="24"/>
          <w:szCs w:val="24"/>
        </w:rPr>
        <w:t xml:space="preserve">Quién vende mueve el precio. </w:t>
      </w:r>
      <w:r>
        <w:rPr>
          <w:rFonts w:ascii="Arial" w:hAnsi="Arial" w:eastAsia="Calibri" w:cs="Arial"/>
          <w:sz w:val="24"/>
          <w:szCs w:val="24"/>
        </w:rPr>
        <w:t>Los vehículos ofrecidos por concesionario se cotizan por encima de los vendidos directamente entre particulares, aun con características equivalentes.</w:t>
      </w:r>
    </w:p>
    <w:p w14:paraId="37E4F0EA">
      <w:pPr>
        <w:pStyle w:val="2"/>
        <w:spacing w:before="300" w:after="150"/>
        <w:rPr>
          <w:rFonts w:ascii="Arial" w:hAnsi="Arial" w:cs="Arial"/>
          <w:sz w:val="24"/>
          <w:szCs w:val="24"/>
        </w:rPr>
      </w:pPr>
      <w:r>
        <w:rPr>
          <w:rFonts w:ascii="Arial" w:hAnsi="Arial" w:eastAsia="Calibri" w:cs="Arial"/>
          <w:b/>
          <w:bCs/>
          <w:color w:val="1F3864"/>
          <w:sz w:val="24"/>
          <w:szCs w:val="24"/>
        </w:rPr>
        <w:t>6. Límites de este trabajo</w:t>
      </w:r>
    </w:p>
    <w:p w14:paraId="64FB1FDD">
      <w:pPr>
        <w:spacing w:after="140" w:line="276" w:lineRule="auto"/>
        <w:rPr>
          <w:rFonts w:ascii="Arial" w:hAnsi="Arial" w:cs="Arial"/>
          <w:sz w:val="24"/>
          <w:szCs w:val="24"/>
        </w:rPr>
      </w:pPr>
      <w:r>
        <w:rPr>
          <w:rFonts w:ascii="Arial" w:hAnsi="Arial" w:eastAsia="Calibri" w:cs="Arial"/>
          <w:sz w:val="24"/>
          <w:szCs w:val="24"/>
        </w:rPr>
        <w:t>Cuatro advertencias que deben tenerse presentes antes de usar los resultados para decidir:</w:t>
      </w:r>
    </w:p>
    <w:p w14:paraId="11025FD8">
      <w:pPr>
        <w:pStyle w:val="17"/>
        <w:numPr>
          <w:ilvl w:val="0"/>
          <w:numId w:val="2"/>
        </w:numPr>
        <w:spacing w:after="90" w:line="276" w:lineRule="auto"/>
        <w:rPr>
          <w:rFonts w:ascii="Arial" w:hAnsi="Arial" w:cs="Arial"/>
          <w:sz w:val="24"/>
          <w:szCs w:val="24"/>
        </w:rPr>
      </w:pPr>
      <w:r>
        <w:rPr>
          <w:rFonts w:ascii="Arial" w:hAnsi="Arial" w:eastAsia="Calibri" w:cs="Arial"/>
          <w:sz w:val="24"/>
          <w:szCs w:val="24"/>
        </w:rPr>
        <w:t>Los datos provienen del mercado de India, en rupias, y fueron recolectados hasta 2020. Los precios relativos entre marcas y segmentos allá no son los de Colombia. La metodología es trasladable; los números no. Para usarla aquí habría que reentrenar la herramienta con datos locales.</w:t>
      </w:r>
    </w:p>
    <w:p w14:paraId="23238CEE">
      <w:pPr>
        <w:pStyle w:val="17"/>
        <w:numPr>
          <w:ilvl w:val="0"/>
          <w:numId w:val="2"/>
        </w:numPr>
        <w:spacing w:after="90" w:line="276" w:lineRule="auto"/>
        <w:rPr>
          <w:rFonts w:ascii="Arial" w:hAnsi="Arial" w:cs="Arial"/>
          <w:sz w:val="24"/>
          <w:szCs w:val="24"/>
        </w:rPr>
      </w:pPr>
      <w:r>
        <w:rPr>
          <w:rFonts w:ascii="Arial" w:hAnsi="Arial" w:eastAsia="Calibri" w:cs="Arial"/>
          <w:sz w:val="24"/>
          <w:szCs w:val="24"/>
        </w:rPr>
        <w:t>No hay información sobre el estado real del vehículo: accidentes, mantenimiento, desgaste mecánico. Dos carros idénticos en el papel pueden valer muy distinto en la realidad, y la herramienta les asignará el mismo precio.</w:t>
      </w:r>
    </w:p>
    <w:p w14:paraId="25E2476D">
      <w:pPr>
        <w:pStyle w:val="17"/>
        <w:numPr>
          <w:ilvl w:val="0"/>
          <w:numId w:val="2"/>
        </w:numPr>
        <w:spacing w:after="90" w:line="276" w:lineRule="auto"/>
        <w:rPr>
          <w:rFonts w:ascii="Arial" w:hAnsi="Arial" w:cs="Arial"/>
          <w:sz w:val="24"/>
          <w:szCs w:val="24"/>
        </w:rPr>
      </w:pPr>
      <w:r>
        <w:rPr>
          <w:rFonts w:ascii="Arial" w:hAnsi="Arial" w:eastAsia="Calibri" w:cs="Arial"/>
          <w:sz w:val="24"/>
          <w:szCs w:val="24"/>
        </w:rPr>
        <w:t>No se consideran color, equipamiento ni ubicación geográfica, factores que sí influyen en una venta real.</w:t>
      </w:r>
    </w:p>
    <w:p w14:paraId="74DAE694">
      <w:pPr>
        <w:pStyle w:val="17"/>
        <w:numPr>
          <w:ilvl w:val="0"/>
          <w:numId w:val="2"/>
        </w:numPr>
        <w:spacing w:after="90" w:line="276" w:lineRule="auto"/>
        <w:rPr>
          <w:rFonts w:ascii="Arial" w:hAnsi="Arial" w:cs="Arial"/>
          <w:sz w:val="24"/>
          <w:szCs w:val="24"/>
        </w:rPr>
      </w:pPr>
      <w:r>
        <w:rPr>
          <w:rFonts w:ascii="Arial" w:hAnsi="Arial" w:eastAsia="Calibri" w:cs="Arial"/>
          <w:sz w:val="24"/>
          <w:szCs w:val="24"/>
        </w:rPr>
        <w:t>La confiabilidad es desigual: alta en los segmentos con muchos casos, baja en los poco frecuentes. En esos casos el criterio del tasador debe pesar más que la herramienta.</w:t>
      </w:r>
    </w:p>
    <w:p w14:paraId="0CCCAEA2">
      <w:pPr>
        <w:pStyle w:val="2"/>
        <w:spacing w:before="300" w:after="150"/>
        <w:rPr>
          <w:rFonts w:ascii="Arial" w:hAnsi="Arial" w:cs="Arial"/>
          <w:sz w:val="24"/>
          <w:szCs w:val="24"/>
        </w:rPr>
      </w:pPr>
      <w:r>
        <w:rPr>
          <w:rFonts w:ascii="Arial" w:hAnsi="Arial" w:eastAsia="Calibri" w:cs="Arial"/>
          <w:b/>
          <w:bCs/>
          <w:color w:val="1F3864"/>
          <w:sz w:val="24"/>
          <w:szCs w:val="24"/>
        </w:rPr>
        <w:t>7. Conclusión</w:t>
      </w:r>
    </w:p>
    <w:p w14:paraId="235441DD">
      <w:pPr>
        <w:spacing w:after="140" w:line="276" w:lineRule="auto"/>
        <w:rPr>
          <w:rFonts w:ascii="Arial" w:hAnsi="Arial" w:cs="Arial"/>
          <w:sz w:val="24"/>
          <w:szCs w:val="24"/>
        </w:rPr>
      </w:pPr>
      <w:r>
        <w:rPr>
          <w:rFonts w:ascii="Arial" w:hAnsi="Arial" w:eastAsia="Calibri" w:cs="Arial"/>
          <w:sz w:val="24"/>
          <w:szCs w:val="24"/>
        </w:rPr>
        <w:t>La herramienta funciona y es útil, pero como apoyo y no como reemplazo. Su mejor uso es dar un punto de partida objetivo y rápido para una conversación de precio, y señalar los casos que se salen del rango esperado para que una persona los revise.</w:t>
      </w:r>
    </w:p>
    <w:p w14:paraId="726F79EC">
      <w:pPr>
        <w:spacing w:after="140" w:line="276" w:lineRule="auto"/>
        <w:rPr>
          <w:rFonts w:ascii="Arial" w:hAnsi="Arial" w:cs="Arial"/>
          <w:sz w:val="24"/>
          <w:szCs w:val="24"/>
        </w:rPr>
      </w:pPr>
      <w:r>
        <w:rPr>
          <w:rFonts w:ascii="Arial" w:hAnsi="Arial" w:eastAsia="Calibri" w:cs="Arial"/>
          <w:sz w:val="24"/>
          <w:szCs w:val="24"/>
        </w:rPr>
        <w:t>El aporte más valioso del proyecto quizá no sea la herramienta en sí, sino lo que reveló sobre el mercado: la tasación debería organizarse primero por segmento y solo después por uso. Ese cambio de orden se puede aplicar mañana mismo, con o sin modelo.</w:t>
      </w:r>
    </w:p>
    <w:sectPr>
      <w:pgSz w:w="11906" w:h="16838"/>
      <w:pgMar w:top="1200" w:right="1300" w:bottom="12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8335D0"/>
    <w:multiLevelType w:val="multilevel"/>
    <w:tmpl w:val="108335D0"/>
    <w:lvl w:ilvl="0" w:tentative="0">
      <w:start w:val="1"/>
      <w:numFmt w:val="decimal"/>
      <w:lvlText w:val="%1."/>
      <w:lvlJc w:val="left"/>
      <w:pPr>
        <w:ind w:left="46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84B26F6"/>
    <w:multiLevelType w:val="multilevel"/>
    <w:tmpl w:val="784B26F6"/>
    <w:lvl w:ilvl="0" w:tentative="0">
      <w:start w:val="1"/>
      <w:numFmt w:val="bullet"/>
      <w:lvlText w:val="•"/>
      <w:lvlJc w:val="left"/>
      <w:pPr>
        <w:ind w:left="46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BC7"/>
    <w:rsid w:val="000A4BC7"/>
    <w:rsid w:val="007419F6"/>
    <w:rsid w:val="00942B9A"/>
    <w:rsid w:val="00965BEE"/>
    <w:rsid w:val="00BC29B3"/>
    <w:rsid w:val="00F327CF"/>
    <w:rsid w:val="6DA74D2F"/>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lang w:val="es-CO" w:eastAsia="es-CO"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s-CO" w:eastAsia="es-CO"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s-CO" w:eastAsia="es-CO"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s-CO" w:eastAsia="es-CO"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s-CO" w:eastAsia="es-CO"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s-CO" w:eastAsia="es-CO"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s-CO" w:eastAsia="es-CO"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footnote text"/>
    <w:link w:val="18"/>
    <w:semiHidden/>
    <w:unhideWhenUsed/>
    <w:uiPriority w:val="99"/>
    <w:rPr>
      <w:rFonts w:ascii="Times New Roman" w:hAnsi="Times New Roman" w:eastAsia="Times New Roman" w:cs="Times New Roman"/>
      <w:lang w:val="es-CO" w:eastAsia="es-CO" w:bidi="ar-SA"/>
    </w:rPr>
  </w:style>
  <w:style w:type="paragraph" w:styleId="14">
    <w:name w:val="endnote text"/>
    <w:link w:val="19"/>
    <w:semiHidden/>
    <w:unhideWhenUsed/>
    <w:uiPriority w:val="99"/>
    <w:rPr>
      <w:rFonts w:ascii="Times New Roman" w:hAnsi="Times New Roman" w:eastAsia="Times New Roman" w:cs="Times New Roman"/>
      <w:lang w:val="es-CO" w:eastAsia="es-CO" w:bidi="ar-SA"/>
    </w:rPr>
  </w:style>
  <w:style w:type="paragraph" w:styleId="15">
    <w:name w:val="Title"/>
    <w:qFormat/>
    <w:uiPriority w:val="10"/>
    <w:rPr>
      <w:rFonts w:ascii="Times New Roman" w:hAnsi="Times New Roman" w:eastAsia="Times New Roman" w:cs="Times New Roman"/>
      <w:sz w:val="56"/>
      <w:szCs w:val="56"/>
      <w:lang w:val="es-CO" w:eastAsia="es-CO" w:bidi="ar-SA"/>
    </w:rPr>
  </w:style>
  <w:style w:type="paragraph" w:customStyle="1" w:styleId="16">
    <w:name w:val="Fuerte1"/>
    <w:qFormat/>
    <w:uiPriority w:val="0"/>
    <w:rPr>
      <w:rFonts w:ascii="Times New Roman" w:hAnsi="Times New Roman" w:eastAsia="Times New Roman" w:cs="Times New Roman"/>
      <w:b/>
      <w:bCs/>
      <w:lang w:val="es-CO" w:eastAsia="es-CO" w:bidi="ar-SA"/>
    </w:rPr>
  </w:style>
  <w:style w:type="paragraph" w:styleId="17">
    <w:name w:val="List Paragraph"/>
    <w:qFormat/>
    <w:uiPriority w:val="0"/>
    <w:rPr>
      <w:rFonts w:ascii="Times New Roman" w:hAnsi="Times New Roman" w:eastAsia="Times New Roman" w:cs="Times New Roman"/>
      <w:lang w:val="es-CO" w:eastAsia="es-CO" w:bidi="ar-SA"/>
    </w:rPr>
  </w:style>
  <w:style w:type="character" w:customStyle="1" w:styleId="18">
    <w:name w:val="Texto nota pie Car"/>
    <w:link w:val="13"/>
    <w:semiHidden/>
    <w:unhideWhenUsed/>
    <w:uiPriority w:val="99"/>
    <w:rPr>
      <w:sz w:val="20"/>
      <w:szCs w:val="20"/>
    </w:rPr>
  </w:style>
  <w:style w:type="character" w:customStyle="1" w:styleId="19">
    <w:name w:val="Texto nota al final C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902</Words>
  <Characters>4451</Characters>
  <Lines>37</Lines>
  <Paragraphs>10</Paragraphs>
  <TotalTime>5</TotalTime>
  <ScaleCrop>false</ScaleCrop>
  <LinksUpToDate>false</LinksUpToDate>
  <CharactersWithSpaces>5300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2026-08-29T15:39:00Z</dcterms:created>
  <dc:creator>Un-named</dc:creator>
  <cp:lastModifiedBy>sanre</cp:lastModifiedBy>
  <dcterms:modified xsi:type="dcterms:W3CDTF">2026-08-29T16:14:46Z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eyJoZGlkIjoiMTNhN2EyODg5M2IxMWI3ZmM3M2RjOWMwM2UyZTIxNzkifQ==</vt:lpwstr>
  </property>
  <property fmtid="{D5CDD505-2E9C-101B-9397-08002B2CF9AE}" pid="3" name="KSOProductBuildVer">
    <vt:lpwstr>3082-12.1.0.28032</vt:lpwstr>
  </property>
  <property fmtid="{D5CDD505-2E9C-101B-9397-08002B2CF9AE}" pid="4" name="ICV">
    <vt:lpwstr>EFF9A8F7A832409494C171C4C43618E7_12</vt:lpwstr>
  </property>
</Properties>
</file>