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456C4" w14:textId="77777777" w:rsidR="000A4BC7" w:rsidRPr="00BC29B3" w:rsidRDefault="00000000">
      <w:pPr>
        <w:spacing w:after="80"/>
        <w:jc w:val="center"/>
        <w:rPr>
          <w:rFonts w:ascii="Arial" w:eastAsia="Calibri" w:hAnsi="Arial" w:cs="Arial"/>
          <w:b/>
          <w:bCs/>
          <w:color w:val="1F3864"/>
          <w:sz w:val="32"/>
          <w:szCs w:val="32"/>
        </w:rPr>
      </w:pPr>
      <w:r w:rsidRPr="00BC29B3">
        <w:rPr>
          <w:rFonts w:ascii="Arial" w:eastAsia="Calibri" w:hAnsi="Arial" w:cs="Arial"/>
          <w:b/>
          <w:bCs/>
          <w:color w:val="1F3864"/>
          <w:sz w:val="32"/>
          <w:szCs w:val="32"/>
        </w:rPr>
        <w:t>Tasación automática de vehículos usados</w:t>
      </w:r>
    </w:p>
    <w:p w14:paraId="361DD663" w14:textId="0881141A" w:rsidR="007419F6" w:rsidRPr="00BC29B3" w:rsidRDefault="00BC29B3">
      <w:pPr>
        <w:spacing w:after="80"/>
        <w:jc w:val="center"/>
        <w:rPr>
          <w:rFonts w:ascii="Arial" w:eastAsia="Calibri" w:hAnsi="Arial" w:cs="Arial"/>
          <w:b/>
          <w:bCs/>
          <w:color w:val="1F3864"/>
          <w:sz w:val="32"/>
          <w:szCs w:val="32"/>
        </w:rPr>
      </w:pPr>
      <w:r w:rsidRPr="00BC29B3">
        <w:rPr>
          <w:rFonts w:ascii="Arial" w:eastAsia="Calibri" w:hAnsi="Arial" w:cs="Arial"/>
          <w:b/>
          <w:bCs/>
          <w:color w:val="1F3864"/>
          <w:sz w:val="32"/>
          <w:szCs w:val="32"/>
        </w:rPr>
        <w:t xml:space="preserve">CONCLUSIONES </w:t>
      </w:r>
    </w:p>
    <w:p w14:paraId="154DB6B1" w14:textId="77777777" w:rsidR="007419F6" w:rsidRPr="00BC29B3" w:rsidRDefault="007419F6">
      <w:pPr>
        <w:spacing w:after="80"/>
        <w:jc w:val="center"/>
        <w:rPr>
          <w:rFonts w:ascii="Arial" w:eastAsia="Calibri" w:hAnsi="Arial" w:cs="Arial"/>
          <w:b/>
          <w:bCs/>
          <w:color w:val="1F3864"/>
          <w:sz w:val="24"/>
          <w:szCs w:val="24"/>
        </w:rPr>
      </w:pPr>
    </w:p>
    <w:p w14:paraId="19281FEA" w14:textId="586FEA2B" w:rsidR="007419F6" w:rsidRPr="00BC29B3" w:rsidRDefault="007419F6" w:rsidP="007419F6">
      <w:pPr>
        <w:spacing w:after="80"/>
        <w:rPr>
          <w:rFonts w:ascii="Arial" w:hAnsi="Arial" w:cs="Arial"/>
          <w:b/>
          <w:bCs/>
          <w:sz w:val="24"/>
          <w:szCs w:val="24"/>
        </w:rPr>
      </w:pPr>
      <w:r w:rsidRPr="00BC29B3">
        <w:rPr>
          <w:rFonts w:ascii="Arial" w:hAnsi="Arial" w:cs="Arial"/>
          <w:b/>
          <w:bCs/>
          <w:sz w:val="24"/>
          <w:szCs w:val="24"/>
        </w:rPr>
        <w:t>INTEGRANTES</w:t>
      </w:r>
    </w:p>
    <w:p w14:paraId="29A61185" w14:textId="72C1D4E0" w:rsidR="007419F6" w:rsidRPr="00BC29B3" w:rsidRDefault="007419F6" w:rsidP="007419F6">
      <w:pPr>
        <w:spacing w:after="80"/>
        <w:rPr>
          <w:rFonts w:ascii="Arial" w:hAnsi="Arial" w:cs="Arial"/>
          <w:sz w:val="24"/>
          <w:szCs w:val="24"/>
        </w:rPr>
      </w:pPr>
      <w:r w:rsidRPr="00BC29B3">
        <w:rPr>
          <w:rFonts w:ascii="Arial" w:hAnsi="Arial" w:cs="Arial"/>
          <w:sz w:val="24"/>
          <w:szCs w:val="24"/>
        </w:rPr>
        <w:t>SANTIAGO ARCILA GUTIERREZ</w:t>
      </w:r>
    </w:p>
    <w:p w14:paraId="40368F54" w14:textId="2301F854" w:rsidR="007419F6" w:rsidRPr="00BC29B3" w:rsidRDefault="007419F6" w:rsidP="007419F6">
      <w:pPr>
        <w:spacing w:after="80"/>
        <w:rPr>
          <w:rFonts w:ascii="Arial" w:hAnsi="Arial" w:cs="Arial"/>
          <w:sz w:val="24"/>
          <w:szCs w:val="24"/>
        </w:rPr>
      </w:pPr>
      <w:r w:rsidRPr="00BC29B3">
        <w:rPr>
          <w:rFonts w:ascii="Arial" w:hAnsi="Arial" w:cs="Arial"/>
          <w:sz w:val="24"/>
          <w:szCs w:val="24"/>
        </w:rPr>
        <w:t>NATALIA FLORES PEREZ</w:t>
      </w:r>
    </w:p>
    <w:p w14:paraId="312ECD28" w14:textId="5BB8B7CC" w:rsidR="007419F6" w:rsidRPr="00BC29B3" w:rsidRDefault="007419F6" w:rsidP="007419F6">
      <w:pPr>
        <w:spacing w:after="80"/>
        <w:rPr>
          <w:rFonts w:ascii="Arial" w:hAnsi="Arial" w:cs="Arial"/>
          <w:sz w:val="24"/>
          <w:szCs w:val="24"/>
        </w:rPr>
      </w:pPr>
      <w:r w:rsidRPr="00BC29B3">
        <w:rPr>
          <w:rFonts w:ascii="Arial" w:hAnsi="Arial" w:cs="Arial"/>
          <w:sz w:val="24"/>
          <w:szCs w:val="24"/>
        </w:rPr>
        <w:t>ALEJANDRO RESTREPO URIBE</w:t>
      </w:r>
    </w:p>
    <w:p w14:paraId="09D29EA8" w14:textId="77777777" w:rsidR="000A4BC7" w:rsidRPr="00BC29B3" w:rsidRDefault="00000000">
      <w:pPr>
        <w:pStyle w:val="Ttulo1"/>
        <w:spacing w:before="300" w:after="150"/>
        <w:rPr>
          <w:rFonts w:ascii="Arial" w:hAnsi="Arial" w:cs="Arial"/>
          <w:sz w:val="24"/>
          <w:szCs w:val="24"/>
        </w:rPr>
      </w:pPr>
      <w:r w:rsidRPr="00BC29B3">
        <w:rPr>
          <w:rFonts w:ascii="Arial" w:eastAsia="Calibri" w:hAnsi="Arial" w:cs="Arial"/>
          <w:b/>
          <w:bCs/>
          <w:color w:val="1F3864"/>
          <w:sz w:val="24"/>
          <w:szCs w:val="24"/>
        </w:rPr>
        <w:t>1. Qué se hizo</w:t>
      </w:r>
    </w:p>
    <w:p w14:paraId="701D43E2"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Se analizaron cerca de 6.700 avisos reales de venta de vehículos usados y se construyó una herramienta que estima el valor de un carro a partir de sus características: año, kilometraje, motor, marca, combustible, transmisión y número de dueños anteriores.</w:t>
      </w:r>
    </w:p>
    <w:p w14:paraId="2DC21F6D"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Es, en esencia, lo que hace un tasador con experiencia. La diferencia es que la herramienta aplica al mismo tiempo todo lo observado en esos 6.700 casos, sin depender de cuáles recuerde mejor.</w:t>
      </w:r>
    </w:p>
    <w:p w14:paraId="0B3C68D9"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La herramienta responde dos preguntas distintas:</w:t>
      </w:r>
    </w:p>
    <w:p w14:paraId="278F14EA" w14:textId="48E50F11"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 xml:space="preserve">¿Cuánto vale exactamente este carro?  </w:t>
      </w:r>
      <w:r w:rsidR="007419F6" w:rsidRPr="00BC29B3">
        <w:rPr>
          <w:rFonts w:ascii="Arial" w:eastAsia="Calibri" w:hAnsi="Arial" w:cs="Arial"/>
          <w:sz w:val="24"/>
          <w:szCs w:val="24"/>
        </w:rPr>
        <w:t>D</w:t>
      </w:r>
      <w:r w:rsidRPr="00BC29B3">
        <w:rPr>
          <w:rFonts w:ascii="Arial" w:eastAsia="Calibri" w:hAnsi="Arial" w:cs="Arial"/>
          <w:sz w:val="24"/>
          <w:szCs w:val="24"/>
        </w:rPr>
        <w:t>evuelve una cifra concreta.</w:t>
      </w:r>
    </w:p>
    <w:p w14:paraId="372224CF" w14:textId="26D1783D"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 xml:space="preserve">¿En qué gama está? </w:t>
      </w:r>
      <w:r w:rsidR="007419F6" w:rsidRPr="00BC29B3">
        <w:rPr>
          <w:rFonts w:ascii="Arial" w:eastAsia="Calibri" w:hAnsi="Arial" w:cs="Arial"/>
          <w:sz w:val="24"/>
          <w:szCs w:val="24"/>
        </w:rPr>
        <w:t>L</w:t>
      </w:r>
      <w:r w:rsidRPr="00BC29B3">
        <w:rPr>
          <w:rFonts w:ascii="Arial" w:eastAsia="Calibri" w:hAnsi="Arial" w:cs="Arial"/>
          <w:sz w:val="24"/>
          <w:szCs w:val="24"/>
        </w:rPr>
        <w:t>o ubica en gama baja, media o alta.</w:t>
      </w:r>
    </w:p>
    <w:p w14:paraId="33EADDD6" w14:textId="77777777" w:rsidR="000A4BC7" w:rsidRPr="00BC29B3" w:rsidRDefault="00000000">
      <w:pPr>
        <w:pStyle w:val="Ttulo1"/>
        <w:spacing w:before="300" w:after="150"/>
        <w:rPr>
          <w:rFonts w:ascii="Arial" w:hAnsi="Arial" w:cs="Arial"/>
          <w:sz w:val="24"/>
          <w:szCs w:val="24"/>
        </w:rPr>
      </w:pPr>
      <w:r w:rsidRPr="00BC29B3">
        <w:rPr>
          <w:rFonts w:ascii="Arial" w:eastAsia="Calibri" w:hAnsi="Arial" w:cs="Arial"/>
          <w:b/>
          <w:bCs/>
          <w:color w:val="1F3864"/>
          <w:sz w:val="24"/>
          <w:szCs w:val="24"/>
        </w:rPr>
        <w:t>2. Qué tan bien funciona</w:t>
      </w:r>
    </w:p>
    <w:p w14:paraId="544D1CE7"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En un vehículo típico, la estimación se desvía alrededor de un 12% del precio real. Visto sobre 100 carros tasados: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400"/>
        <w:gridCol w:w="3400"/>
      </w:tblGrid>
      <w:tr w:rsidR="000A4BC7" w:rsidRPr="00BC29B3" w14:paraId="2A1A56BE" w14:textId="77777777">
        <w:tblPrEx>
          <w:tblCellMar>
            <w:top w:w="0" w:type="dxa"/>
            <w:bottom w:w="0" w:type="dxa"/>
          </w:tblCellMar>
        </w:tblPrEx>
        <w:tc>
          <w:tcPr>
            <w:tcW w:w="3200" w:type="dxa"/>
            <w:shd w:val="clear" w:color="auto" w:fill="1F3864"/>
            <w:tcMar>
              <w:top w:w="80" w:type="dxa"/>
              <w:left w:w="120" w:type="dxa"/>
              <w:bottom w:w="80" w:type="dxa"/>
              <w:right w:w="120" w:type="dxa"/>
            </w:tcMar>
          </w:tcPr>
          <w:p w14:paraId="2D5AB2AB" w14:textId="77777777" w:rsidR="000A4BC7" w:rsidRPr="00BC29B3" w:rsidRDefault="00000000">
            <w:pPr>
              <w:rPr>
                <w:rFonts w:ascii="Arial" w:hAnsi="Arial" w:cs="Arial"/>
                <w:sz w:val="24"/>
                <w:szCs w:val="24"/>
              </w:rPr>
            </w:pPr>
            <w:r w:rsidRPr="00BC29B3">
              <w:rPr>
                <w:rFonts w:ascii="Arial" w:eastAsia="Calibri" w:hAnsi="Arial" w:cs="Arial"/>
                <w:b/>
                <w:bCs/>
                <w:color w:val="FFFFFF"/>
                <w:sz w:val="24"/>
                <w:szCs w:val="24"/>
              </w:rPr>
              <w:t>Resultado</w:t>
            </w:r>
          </w:p>
        </w:tc>
        <w:tc>
          <w:tcPr>
            <w:tcW w:w="2400" w:type="dxa"/>
            <w:shd w:val="clear" w:color="auto" w:fill="1F3864"/>
            <w:tcMar>
              <w:top w:w="80" w:type="dxa"/>
              <w:left w:w="120" w:type="dxa"/>
              <w:bottom w:w="80" w:type="dxa"/>
              <w:right w:w="120" w:type="dxa"/>
            </w:tcMar>
          </w:tcPr>
          <w:p w14:paraId="0B85216B" w14:textId="77777777" w:rsidR="000A4BC7" w:rsidRPr="00BC29B3" w:rsidRDefault="00000000">
            <w:pPr>
              <w:rPr>
                <w:rFonts w:ascii="Arial" w:hAnsi="Arial" w:cs="Arial"/>
                <w:sz w:val="24"/>
                <w:szCs w:val="24"/>
              </w:rPr>
            </w:pPr>
            <w:r w:rsidRPr="00BC29B3">
              <w:rPr>
                <w:rFonts w:ascii="Arial" w:eastAsia="Calibri" w:hAnsi="Arial" w:cs="Arial"/>
                <w:b/>
                <w:bCs/>
                <w:color w:val="FFFFFF"/>
                <w:sz w:val="24"/>
                <w:szCs w:val="24"/>
              </w:rPr>
              <w:t>De cada 100 carros</w:t>
            </w:r>
          </w:p>
        </w:tc>
        <w:tc>
          <w:tcPr>
            <w:tcW w:w="3400" w:type="dxa"/>
            <w:shd w:val="clear" w:color="auto" w:fill="1F3864"/>
            <w:tcMar>
              <w:top w:w="80" w:type="dxa"/>
              <w:left w:w="120" w:type="dxa"/>
              <w:bottom w:w="80" w:type="dxa"/>
              <w:right w:w="120" w:type="dxa"/>
            </w:tcMar>
          </w:tcPr>
          <w:p w14:paraId="0D5FAA71" w14:textId="77777777" w:rsidR="000A4BC7" w:rsidRPr="00BC29B3" w:rsidRDefault="00000000">
            <w:pPr>
              <w:rPr>
                <w:rFonts w:ascii="Arial" w:hAnsi="Arial" w:cs="Arial"/>
                <w:sz w:val="24"/>
                <w:szCs w:val="24"/>
              </w:rPr>
            </w:pPr>
            <w:r w:rsidRPr="00BC29B3">
              <w:rPr>
                <w:rFonts w:ascii="Arial" w:eastAsia="Calibri" w:hAnsi="Arial" w:cs="Arial"/>
                <w:b/>
                <w:bCs/>
                <w:color w:val="FFFFFF"/>
                <w:sz w:val="24"/>
                <w:szCs w:val="24"/>
              </w:rPr>
              <w:t>Cómo leerlo</w:t>
            </w:r>
          </w:p>
        </w:tc>
      </w:tr>
      <w:tr w:rsidR="000A4BC7" w:rsidRPr="00BC29B3" w14:paraId="5717E604" w14:textId="77777777">
        <w:tblPrEx>
          <w:tblCellMar>
            <w:top w:w="0" w:type="dxa"/>
            <w:bottom w:w="0" w:type="dxa"/>
          </w:tblCellMar>
        </w:tblPrEx>
        <w:tc>
          <w:tcPr>
            <w:tcW w:w="3200" w:type="dxa"/>
            <w:tcMar>
              <w:top w:w="80" w:type="dxa"/>
              <w:left w:w="120" w:type="dxa"/>
              <w:bottom w:w="80" w:type="dxa"/>
              <w:right w:w="120" w:type="dxa"/>
            </w:tcMar>
          </w:tcPr>
          <w:p w14:paraId="4F7E7883" w14:textId="77777777" w:rsidR="000A4BC7" w:rsidRPr="00BC29B3" w:rsidRDefault="00000000">
            <w:pPr>
              <w:rPr>
                <w:rFonts w:ascii="Arial" w:hAnsi="Arial" w:cs="Arial"/>
                <w:sz w:val="24"/>
                <w:szCs w:val="24"/>
              </w:rPr>
            </w:pPr>
            <w:r w:rsidRPr="00BC29B3">
              <w:rPr>
                <w:rFonts w:ascii="Arial" w:eastAsia="Calibri" w:hAnsi="Arial" w:cs="Arial"/>
                <w:sz w:val="24"/>
                <w:szCs w:val="24"/>
              </w:rPr>
              <w:t>Error menor al 10%</w:t>
            </w:r>
          </w:p>
        </w:tc>
        <w:tc>
          <w:tcPr>
            <w:tcW w:w="2400" w:type="dxa"/>
            <w:tcMar>
              <w:top w:w="80" w:type="dxa"/>
              <w:left w:w="120" w:type="dxa"/>
              <w:bottom w:w="80" w:type="dxa"/>
              <w:right w:w="120" w:type="dxa"/>
            </w:tcMar>
          </w:tcPr>
          <w:p w14:paraId="41E209FD" w14:textId="77777777" w:rsidR="000A4BC7" w:rsidRPr="00BC29B3" w:rsidRDefault="00000000">
            <w:pPr>
              <w:rPr>
                <w:rFonts w:ascii="Arial" w:hAnsi="Arial" w:cs="Arial"/>
                <w:sz w:val="24"/>
                <w:szCs w:val="24"/>
              </w:rPr>
            </w:pPr>
            <w:r w:rsidRPr="00BC29B3">
              <w:rPr>
                <w:rFonts w:ascii="Arial" w:eastAsia="Calibri" w:hAnsi="Arial" w:cs="Arial"/>
                <w:sz w:val="24"/>
                <w:szCs w:val="24"/>
              </w:rPr>
              <w:t>46</w:t>
            </w:r>
          </w:p>
        </w:tc>
        <w:tc>
          <w:tcPr>
            <w:tcW w:w="3400" w:type="dxa"/>
            <w:tcMar>
              <w:top w:w="80" w:type="dxa"/>
              <w:left w:w="120" w:type="dxa"/>
              <w:bottom w:w="80" w:type="dxa"/>
              <w:right w:w="120" w:type="dxa"/>
            </w:tcMar>
          </w:tcPr>
          <w:p w14:paraId="17A604EE" w14:textId="77777777" w:rsidR="000A4BC7" w:rsidRPr="00BC29B3" w:rsidRDefault="00000000">
            <w:pPr>
              <w:rPr>
                <w:rFonts w:ascii="Arial" w:hAnsi="Arial" w:cs="Arial"/>
                <w:sz w:val="24"/>
                <w:szCs w:val="24"/>
              </w:rPr>
            </w:pPr>
            <w:r w:rsidRPr="00BC29B3">
              <w:rPr>
                <w:rFonts w:ascii="Arial" w:eastAsia="Calibri" w:hAnsi="Arial" w:cs="Arial"/>
                <w:sz w:val="24"/>
                <w:szCs w:val="24"/>
              </w:rPr>
              <w:t>Tasación prácticamente lista para usar</w:t>
            </w:r>
          </w:p>
        </w:tc>
      </w:tr>
      <w:tr w:rsidR="000A4BC7" w:rsidRPr="00BC29B3" w14:paraId="769FBA86" w14:textId="77777777">
        <w:tblPrEx>
          <w:tblCellMar>
            <w:top w:w="0" w:type="dxa"/>
            <w:bottom w:w="0" w:type="dxa"/>
          </w:tblCellMar>
        </w:tblPrEx>
        <w:tc>
          <w:tcPr>
            <w:tcW w:w="3200" w:type="dxa"/>
            <w:tcMar>
              <w:top w:w="80" w:type="dxa"/>
              <w:left w:w="120" w:type="dxa"/>
              <w:bottom w:w="80" w:type="dxa"/>
              <w:right w:w="120" w:type="dxa"/>
            </w:tcMar>
          </w:tcPr>
          <w:p w14:paraId="4AE01333" w14:textId="77777777" w:rsidR="000A4BC7" w:rsidRPr="00BC29B3" w:rsidRDefault="00000000">
            <w:pPr>
              <w:rPr>
                <w:rFonts w:ascii="Arial" w:hAnsi="Arial" w:cs="Arial"/>
                <w:sz w:val="24"/>
                <w:szCs w:val="24"/>
              </w:rPr>
            </w:pPr>
            <w:r w:rsidRPr="00BC29B3">
              <w:rPr>
                <w:rFonts w:ascii="Arial" w:eastAsia="Calibri" w:hAnsi="Arial" w:cs="Arial"/>
                <w:sz w:val="24"/>
                <w:szCs w:val="24"/>
              </w:rPr>
              <w:t>Error entre 10% y 20%</w:t>
            </w:r>
          </w:p>
        </w:tc>
        <w:tc>
          <w:tcPr>
            <w:tcW w:w="2400" w:type="dxa"/>
            <w:tcMar>
              <w:top w:w="80" w:type="dxa"/>
              <w:left w:w="120" w:type="dxa"/>
              <w:bottom w:w="80" w:type="dxa"/>
              <w:right w:w="120" w:type="dxa"/>
            </w:tcMar>
          </w:tcPr>
          <w:p w14:paraId="114D6D03" w14:textId="77777777" w:rsidR="000A4BC7" w:rsidRPr="00BC29B3" w:rsidRDefault="00000000">
            <w:pPr>
              <w:rPr>
                <w:rFonts w:ascii="Arial" w:hAnsi="Arial" w:cs="Arial"/>
                <w:sz w:val="24"/>
                <w:szCs w:val="24"/>
              </w:rPr>
            </w:pPr>
            <w:r w:rsidRPr="00BC29B3">
              <w:rPr>
                <w:rFonts w:ascii="Arial" w:eastAsia="Calibri" w:hAnsi="Arial" w:cs="Arial"/>
                <w:sz w:val="24"/>
                <w:szCs w:val="24"/>
              </w:rPr>
              <w:t>27</w:t>
            </w:r>
          </w:p>
        </w:tc>
        <w:tc>
          <w:tcPr>
            <w:tcW w:w="3400" w:type="dxa"/>
            <w:tcMar>
              <w:top w:w="80" w:type="dxa"/>
              <w:left w:w="120" w:type="dxa"/>
              <w:bottom w:w="80" w:type="dxa"/>
              <w:right w:w="120" w:type="dxa"/>
            </w:tcMar>
          </w:tcPr>
          <w:p w14:paraId="625BCBA1" w14:textId="77777777" w:rsidR="000A4BC7" w:rsidRPr="00BC29B3" w:rsidRDefault="00000000">
            <w:pPr>
              <w:rPr>
                <w:rFonts w:ascii="Arial" w:hAnsi="Arial" w:cs="Arial"/>
                <w:sz w:val="24"/>
                <w:szCs w:val="24"/>
              </w:rPr>
            </w:pPr>
            <w:r w:rsidRPr="00BC29B3">
              <w:rPr>
                <w:rFonts w:ascii="Arial" w:eastAsia="Calibri" w:hAnsi="Arial" w:cs="Arial"/>
                <w:sz w:val="24"/>
                <w:szCs w:val="24"/>
              </w:rPr>
              <w:t>Sirve como punto de partida, requiere ajuste</w:t>
            </w:r>
          </w:p>
        </w:tc>
      </w:tr>
      <w:tr w:rsidR="000A4BC7" w:rsidRPr="00BC29B3" w14:paraId="3765B1F6" w14:textId="77777777">
        <w:tblPrEx>
          <w:tblCellMar>
            <w:top w:w="0" w:type="dxa"/>
            <w:bottom w:w="0" w:type="dxa"/>
          </w:tblCellMar>
        </w:tblPrEx>
        <w:tc>
          <w:tcPr>
            <w:tcW w:w="3200" w:type="dxa"/>
            <w:tcMar>
              <w:top w:w="80" w:type="dxa"/>
              <w:left w:w="120" w:type="dxa"/>
              <w:bottom w:w="80" w:type="dxa"/>
              <w:right w:w="120" w:type="dxa"/>
            </w:tcMar>
          </w:tcPr>
          <w:p w14:paraId="68C39B1E" w14:textId="77777777" w:rsidR="000A4BC7" w:rsidRPr="00BC29B3" w:rsidRDefault="00000000">
            <w:pPr>
              <w:rPr>
                <w:rFonts w:ascii="Arial" w:hAnsi="Arial" w:cs="Arial"/>
                <w:sz w:val="24"/>
                <w:szCs w:val="24"/>
              </w:rPr>
            </w:pPr>
            <w:r w:rsidRPr="00BC29B3">
              <w:rPr>
                <w:rFonts w:ascii="Arial" w:eastAsia="Calibri" w:hAnsi="Arial" w:cs="Arial"/>
                <w:sz w:val="24"/>
                <w:szCs w:val="24"/>
              </w:rPr>
              <w:t>Error mayor al 20%</w:t>
            </w:r>
          </w:p>
        </w:tc>
        <w:tc>
          <w:tcPr>
            <w:tcW w:w="2400" w:type="dxa"/>
            <w:tcMar>
              <w:top w:w="80" w:type="dxa"/>
              <w:left w:w="120" w:type="dxa"/>
              <w:bottom w:w="80" w:type="dxa"/>
              <w:right w:w="120" w:type="dxa"/>
            </w:tcMar>
          </w:tcPr>
          <w:p w14:paraId="3322B23B" w14:textId="77777777" w:rsidR="000A4BC7" w:rsidRPr="00BC29B3" w:rsidRDefault="00000000">
            <w:pPr>
              <w:rPr>
                <w:rFonts w:ascii="Arial" w:hAnsi="Arial" w:cs="Arial"/>
                <w:sz w:val="24"/>
                <w:szCs w:val="24"/>
              </w:rPr>
            </w:pPr>
            <w:r w:rsidRPr="00BC29B3">
              <w:rPr>
                <w:rFonts w:ascii="Arial" w:eastAsia="Calibri" w:hAnsi="Arial" w:cs="Arial"/>
                <w:sz w:val="24"/>
                <w:szCs w:val="24"/>
              </w:rPr>
              <w:t>27</w:t>
            </w:r>
          </w:p>
        </w:tc>
        <w:tc>
          <w:tcPr>
            <w:tcW w:w="3400" w:type="dxa"/>
            <w:tcMar>
              <w:top w:w="80" w:type="dxa"/>
              <w:left w:w="120" w:type="dxa"/>
              <w:bottom w:w="80" w:type="dxa"/>
              <w:right w:w="120" w:type="dxa"/>
            </w:tcMar>
          </w:tcPr>
          <w:p w14:paraId="551C3D3A" w14:textId="77777777" w:rsidR="000A4BC7" w:rsidRPr="00BC29B3" w:rsidRDefault="00000000">
            <w:pPr>
              <w:rPr>
                <w:rFonts w:ascii="Arial" w:hAnsi="Arial" w:cs="Arial"/>
                <w:sz w:val="24"/>
                <w:szCs w:val="24"/>
              </w:rPr>
            </w:pPr>
            <w:r w:rsidRPr="00BC29B3">
              <w:rPr>
                <w:rFonts w:ascii="Arial" w:eastAsia="Calibri" w:hAnsi="Arial" w:cs="Arial"/>
                <w:sz w:val="24"/>
                <w:szCs w:val="24"/>
              </w:rPr>
              <w:t>Requiere criterio del tasador</w:t>
            </w:r>
          </w:p>
        </w:tc>
      </w:tr>
    </w:tbl>
    <w:p w14:paraId="536906AE" w14:textId="77777777" w:rsidR="000A4BC7" w:rsidRPr="00BC29B3" w:rsidRDefault="000A4BC7">
      <w:pPr>
        <w:spacing w:after="160" w:line="276" w:lineRule="auto"/>
        <w:rPr>
          <w:rFonts w:ascii="Arial" w:hAnsi="Arial" w:cs="Arial"/>
          <w:sz w:val="24"/>
          <w:szCs w:val="24"/>
        </w:rPr>
      </w:pPr>
    </w:p>
    <w:p w14:paraId="7F3212A8" w14:textId="77777777" w:rsidR="000A4BC7" w:rsidRDefault="00000000">
      <w:pPr>
        <w:spacing w:after="140" w:line="276" w:lineRule="auto"/>
        <w:rPr>
          <w:rFonts w:ascii="Arial" w:eastAsia="Calibri" w:hAnsi="Arial" w:cs="Arial"/>
          <w:sz w:val="24"/>
          <w:szCs w:val="24"/>
        </w:rPr>
      </w:pPr>
      <w:r w:rsidRPr="00BC29B3">
        <w:rPr>
          <w:rFonts w:ascii="Arial" w:eastAsia="Calibri" w:hAnsi="Arial" w:cs="Arial"/>
          <w:sz w:val="24"/>
          <w:szCs w:val="24"/>
        </w:rPr>
        <w:t>Cuando en lugar del precio exacto solo se necesita saber la gama, el acierto sube a cerca del 84%. Y hay un detalle importante: los errores se dan casi siempre entre gamas vecinas. La herramienta puede dudar entre gama media y gama alta, pero prácticamente nunca confunde un carro económico con uno de lujo. La gama media es la más difícil, lo cual tiene sentido: está pegada a las otras dos por ambos lados.</w:t>
      </w:r>
    </w:p>
    <w:p w14:paraId="39820DEE" w14:textId="77777777" w:rsidR="00BC29B3" w:rsidRDefault="00BC29B3">
      <w:pPr>
        <w:spacing w:after="140" w:line="276" w:lineRule="auto"/>
        <w:rPr>
          <w:rFonts w:ascii="Arial" w:eastAsia="Calibri" w:hAnsi="Arial" w:cs="Arial"/>
          <w:sz w:val="24"/>
          <w:szCs w:val="24"/>
        </w:rPr>
      </w:pPr>
    </w:p>
    <w:p w14:paraId="0CC6477E" w14:textId="77777777" w:rsidR="00BC29B3" w:rsidRPr="00BC29B3" w:rsidRDefault="00BC29B3">
      <w:pPr>
        <w:spacing w:after="140" w:line="276" w:lineRule="auto"/>
        <w:rPr>
          <w:rFonts w:ascii="Arial" w:hAnsi="Arial" w:cs="Arial"/>
          <w:sz w:val="24"/>
          <w:szCs w:val="24"/>
        </w:rPr>
      </w:pPr>
    </w:p>
    <w:p w14:paraId="3F02A1E1" w14:textId="77777777" w:rsidR="000A4BC7" w:rsidRPr="00BC29B3" w:rsidRDefault="00000000">
      <w:pPr>
        <w:pStyle w:val="Ttulo1"/>
        <w:spacing w:before="300" w:after="150"/>
        <w:rPr>
          <w:rFonts w:ascii="Arial" w:hAnsi="Arial" w:cs="Arial"/>
          <w:sz w:val="24"/>
          <w:szCs w:val="24"/>
        </w:rPr>
      </w:pPr>
      <w:r w:rsidRPr="00BC29B3">
        <w:rPr>
          <w:rFonts w:ascii="Arial" w:eastAsia="Calibri" w:hAnsi="Arial" w:cs="Arial"/>
          <w:b/>
          <w:bCs/>
          <w:color w:val="1F3864"/>
          <w:sz w:val="24"/>
          <w:szCs w:val="24"/>
        </w:rPr>
        <w:lastRenderedPageBreak/>
        <w:t>3. Para qué sirve y para qué no</w:t>
      </w:r>
    </w:p>
    <w:p w14:paraId="63090F7A" w14:textId="77777777" w:rsidR="000A4BC7" w:rsidRPr="00BC29B3" w:rsidRDefault="00000000">
      <w:pPr>
        <w:spacing w:after="80" w:line="276" w:lineRule="auto"/>
        <w:rPr>
          <w:rFonts w:ascii="Arial" w:hAnsi="Arial" w:cs="Arial"/>
          <w:sz w:val="24"/>
          <w:szCs w:val="24"/>
        </w:rPr>
      </w:pPr>
      <w:r w:rsidRPr="00BC29B3">
        <w:rPr>
          <w:rFonts w:ascii="Arial" w:eastAsia="Calibri" w:hAnsi="Arial" w:cs="Arial"/>
          <w:b/>
          <w:bCs/>
          <w:sz w:val="24"/>
          <w:szCs w:val="24"/>
        </w:rPr>
        <w:t>Sirve para:</w:t>
      </w:r>
    </w:p>
    <w:p w14:paraId="6DA393E2" w14:textId="77777777"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Fijar un precio de arranque antes de negociar.</w:t>
      </w:r>
    </w:p>
    <w:p w14:paraId="376D39C4" w14:textId="77777777"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Detectar vehículos que entran al inventario por debajo de su valor de mercado.</w:t>
      </w:r>
    </w:p>
    <w:p w14:paraId="744DE6FF" w14:textId="77777777"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Revisar si una oferta recibida se salió del rango razonable.</w:t>
      </w:r>
    </w:p>
    <w:p w14:paraId="6BA3B9D2" w14:textId="77777777"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Estimar el valor de un inventario completo en pocos segundos.</w:t>
      </w:r>
    </w:p>
    <w:p w14:paraId="031CB0CB" w14:textId="77777777" w:rsidR="000A4BC7" w:rsidRPr="00BC29B3" w:rsidRDefault="00000000">
      <w:pPr>
        <w:spacing w:after="80" w:line="276" w:lineRule="auto"/>
        <w:rPr>
          <w:rFonts w:ascii="Arial" w:hAnsi="Arial" w:cs="Arial"/>
          <w:sz w:val="24"/>
          <w:szCs w:val="24"/>
        </w:rPr>
      </w:pPr>
      <w:r w:rsidRPr="00BC29B3">
        <w:rPr>
          <w:rFonts w:ascii="Arial" w:eastAsia="Calibri" w:hAnsi="Arial" w:cs="Arial"/>
          <w:b/>
          <w:bCs/>
          <w:sz w:val="24"/>
          <w:szCs w:val="24"/>
        </w:rPr>
        <w:t>No sirve para:</w:t>
      </w:r>
    </w:p>
    <w:p w14:paraId="7EB706D4" w14:textId="77777777"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Reemplazar la inspección física. La herramienta no sabe si el carro tuvo un choque, si el motor está sano o si la pintura es original.</w:t>
      </w:r>
    </w:p>
    <w:p w14:paraId="4E8DDDDD" w14:textId="77777777"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Tasar vehículos poco comunes: marcas de lujo, carros a gas o modelos muy antiguos, donde hay pocos casos de referencia.</w:t>
      </w:r>
    </w:p>
    <w:p w14:paraId="338558F4" w14:textId="77777777" w:rsidR="000A4BC7" w:rsidRPr="00BC29B3" w:rsidRDefault="00000000">
      <w:pPr>
        <w:pStyle w:val="Prrafodelista"/>
        <w:numPr>
          <w:ilvl w:val="0"/>
          <w:numId w:val="2"/>
        </w:numPr>
        <w:spacing w:after="90" w:line="276" w:lineRule="auto"/>
        <w:rPr>
          <w:rFonts w:ascii="Arial" w:hAnsi="Arial" w:cs="Arial"/>
          <w:sz w:val="24"/>
          <w:szCs w:val="24"/>
        </w:rPr>
      </w:pPr>
      <w:r w:rsidRPr="00BC29B3">
        <w:rPr>
          <w:rFonts w:ascii="Arial" w:eastAsia="Calibri" w:hAnsi="Arial" w:cs="Arial"/>
          <w:sz w:val="24"/>
          <w:szCs w:val="24"/>
        </w:rPr>
        <w:t>Tomar la decisión final de compra por sí sola.</w:t>
      </w:r>
    </w:p>
    <w:p w14:paraId="1DB2512C" w14:textId="77777777" w:rsidR="000A4BC7" w:rsidRPr="00BC29B3" w:rsidRDefault="00000000">
      <w:pPr>
        <w:pStyle w:val="Ttulo1"/>
        <w:spacing w:before="300" w:after="150"/>
        <w:rPr>
          <w:rFonts w:ascii="Arial" w:hAnsi="Arial" w:cs="Arial"/>
          <w:sz w:val="24"/>
          <w:szCs w:val="24"/>
        </w:rPr>
      </w:pPr>
      <w:r w:rsidRPr="00BC29B3">
        <w:rPr>
          <w:rFonts w:ascii="Arial" w:eastAsia="Calibri" w:hAnsi="Arial" w:cs="Arial"/>
          <w:b/>
          <w:bCs/>
          <w:color w:val="1F3864"/>
          <w:sz w:val="24"/>
          <w:szCs w:val="24"/>
        </w:rPr>
        <w:t>4. El hallazgo principal</w:t>
      </w:r>
    </w:p>
    <w:p w14:paraId="5CE0D83A"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Antes de analizar los datos, el equipo apostó a que los dos factores decisivos serían la edad del vehículo y el kilometraje.</w:t>
      </w:r>
    </w:p>
    <w:p w14:paraId="38D421B5"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b/>
          <w:bCs/>
          <w:sz w:val="24"/>
          <w:szCs w:val="24"/>
        </w:rPr>
        <w:t xml:space="preserve">Acertamos en el primero: </w:t>
      </w:r>
      <w:r w:rsidRPr="00BC29B3">
        <w:rPr>
          <w:rFonts w:ascii="Arial" w:eastAsia="Calibri" w:hAnsi="Arial" w:cs="Arial"/>
          <w:sz w:val="24"/>
          <w:szCs w:val="24"/>
        </w:rPr>
        <w:t>la edad es efectivamente lo que más pesa. En el segundo nos equivocamos. Lo que sigue en importancia no es el kilometraje sino el tamaño y la potencia del motor.</w:t>
      </w:r>
    </w:p>
    <w:p w14:paraId="3D1DE12A"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Traducido al negocio: la edad explica cuánto se deprecia un carro dentro de su categoría, pero el motor define en qué categoría está. Un carro pequeño de diez años y uno de tres se diferencian por depreciación. Un carro pequeño y una camioneta son dos mercados distintos, y la brecha entre mercados es mayor que la depreciación dentro de uno.</w:t>
      </w:r>
    </w:p>
    <w:p w14:paraId="3E53DBE1" w14:textId="0ACBB1A6" w:rsidR="000A4BC7" w:rsidRPr="00BC29B3" w:rsidRDefault="00000000">
      <w:pPr>
        <w:spacing w:after="140" w:line="276" w:lineRule="auto"/>
        <w:rPr>
          <w:rFonts w:ascii="Arial" w:hAnsi="Arial" w:cs="Arial"/>
          <w:sz w:val="24"/>
          <w:szCs w:val="24"/>
        </w:rPr>
      </w:pPr>
      <w:r w:rsidRPr="00BC29B3">
        <w:rPr>
          <w:rFonts w:ascii="Arial" w:eastAsia="Calibri" w:hAnsi="Arial" w:cs="Arial"/>
          <w:b/>
          <w:bCs/>
          <w:sz w:val="24"/>
          <w:szCs w:val="24"/>
        </w:rPr>
        <w:t xml:space="preserve">Implicación práctica: </w:t>
      </w:r>
      <w:r w:rsidR="00BC29B3" w:rsidRPr="00BC29B3">
        <w:rPr>
          <w:rFonts w:ascii="Arial" w:eastAsia="Calibri" w:hAnsi="Arial" w:cs="Arial"/>
          <w:sz w:val="24"/>
          <w:szCs w:val="24"/>
        </w:rPr>
        <w:t>A</w:t>
      </w:r>
      <w:r w:rsidRPr="00BC29B3">
        <w:rPr>
          <w:rFonts w:ascii="Arial" w:eastAsia="Calibri" w:hAnsi="Arial" w:cs="Arial"/>
          <w:sz w:val="24"/>
          <w:szCs w:val="24"/>
        </w:rPr>
        <w:t>l tasar conviene primero ubicar el vehículo en su segmento y después ajustar por uso.</w:t>
      </w:r>
      <w:r w:rsidRPr="00BC29B3">
        <w:rPr>
          <w:rFonts w:ascii="Arial" w:eastAsia="Calibri" w:hAnsi="Arial" w:cs="Arial"/>
          <w:b/>
          <w:bCs/>
          <w:sz w:val="24"/>
          <w:szCs w:val="24"/>
        </w:rPr>
        <w:t xml:space="preserve"> </w:t>
      </w:r>
      <w:r w:rsidRPr="00BC29B3">
        <w:rPr>
          <w:rFonts w:ascii="Arial" w:eastAsia="Calibri" w:hAnsi="Arial" w:cs="Arial"/>
          <w:sz w:val="24"/>
          <w:szCs w:val="24"/>
        </w:rPr>
        <w:t>Aplicar el mismo descuento porcentual por año a todo el inventario es un error, porque no todos los segmentos se deprecian al mismo ritmo.</w:t>
      </w:r>
    </w:p>
    <w:p w14:paraId="3227157D"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Una advertencia para no sobrevender el hallazgo: que el kilometraje aparezca bajo en el ranking no significa que no importe. Significa que la herramienta ya obtiene esa información por otra vía, principalmente a través de la edad del vehículo, que va muy de la mano con los kilómetros recorridos. En una tasación manual el kilometraje sigue siendo un dato que hay que mirar.</w:t>
      </w:r>
    </w:p>
    <w:p w14:paraId="20703294" w14:textId="77777777" w:rsidR="000A4BC7" w:rsidRPr="00BC29B3" w:rsidRDefault="00000000">
      <w:pPr>
        <w:pStyle w:val="Ttulo1"/>
        <w:spacing w:before="300" w:after="150"/>
        <w:rPr>
          <w:rFonts w:ascii="Arial" w:hAnsi="Arial" w:cs="Arial"/>
          <w:sz w:val="24"/>
          <w:szCs w:val="24"/>
        </w:rPr>
      </w:pPr>
      <w:r w:rsidRPr="00BC29B3">
        <w:rPr>
          <w:rFonts w:ascii="Arial" w:eastAsia="Calibri" w:hAnsi="Arial" w:cs="Arial"/>
          <w:b/>
          <w:bCs/>
          <w:color w:val="1F3864"/>
          <w:sz w:val="24"/>
          <w:szCs w:val="24"/>
        </w:rPr>
        <w:t>5. Otros dos resultados útiles</w:t>
      </w:r>
    </w:p>
    <w:p w14:paraId="0B512D43"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b/>
          <w:bCs/>
          <w:sz w:val="24"/>
          <w:szCs w:val="24"/>
        </w:rPr>
        <w:t xml:space="preserve">La depreciación no es lineal. </w:t>
      </w:r>
      <w:r w:rsidRPr="00BC29B3">
        <w:rPr>
          <w:rFonts w:ascii="Arial" w:eastAsia="Calibri" w:hAnsi="Arial" w:cs="Arial"/>
          <w:sz w:val="24"/>
          <w:szCs w:val="24"/>
        </w:rPr>
        <w:t>La caída fuerte de valor ocurre en los primeros años; después de aproximadamente diez, el precio se estabiliza. Comprar un carro de doce años en lugar de uno de diez casi no cambia el precio de compra, pero sí cambia el riesgo mecánico.</w:t>
      </w:r>
    </w:p>
    <w:p w14:paraId="4442207B"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b/>
          <w:bCs/>
          <w:sz w:val="24"/>
          <w:szCs w:val="24"/>
        </w:rPr>
        <w:lastRenderedPageBreak/>
        <w:t xml:space="preserve">Quién vende mueve el precio. </w:t>
      </w:r>
      <w:r w:rsidRPr="00BC29B3">
        <w:rPr>
          <w:rFonts w:ascii="Arial" w:eastAsia="Calibri" w:hAnsi="Arial" w:cs="Arial"/>
          <w:sz w:val="24"/>
          <w:szCs w:val="24"/>
        </w:rPr>
        <w:t>Los vehículos ofrecidos por concesionario se cotizan por encima de los vendidos directamente entre particulares, aun con características equivalentes.</w:t>
      </w:r>
    </w:p>
    <w:p w14:paraId="37E4F0EA" w14:textId="77777777" w:rsidR="000A4BC7" w:rsidRPr="00BC29B3" w:rsidRDefault="00000000">
      <w:pPr>
        <w:pStyle w:val="Ttulo1"/>
        <w:spacing w:before="300" w:after="150"/>
        <w:rPr>
          <w:rFonts w:ascii="Arial" w:hAnsi="Arial" w:cs="Arial"/>
          <w:sz w:val="24"/>
          <w:szCs w:val="24"/>
        </w:rPr>
      </w:pPr>
      <w:r w:rsidRPr="00BC29B3">
        <w:rPr>
          <w:rFonts w:ascii="Arial" w:eastAsia="Calibri" w:hAnsi="Arial" w:cs="Arial"/>
          <w:b/>
          <w:bCs/>
          <w:color w:val="1F3864"/>
          <w:sz w:val="24"/>
          <w:szCs w:val="24"/>
        </w:rPr>
        <w:t>6. Límites de este trabajo</w:t>
      </w:r>
    </w:p>
    <w:p w14:paraId="64FB1FDD"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Cuatro advertencias que deben tenerse presentes antes de usar los resultados para decidir:</w:t>
      </w:r>
    </w:p>
    <w:p w14:paraId="11025FD8" w14:textId="77777777" w:rsidR="000A4BC7" w:rsidRPr="00BC29B3" w:rsidRDefault="00000000">
      <w:pPr>
        <w:pStyle w:val="Prrafodelista"/>
        <w:numPr>
          <w:ilvl w:val="0"/>
          <w:numId w:val="3"/>
        </w:numPr>
        <w:spacing w:after="90" w:line="276" w:lineRule="auto"/>
        <w:rPr>
          <w:rFonts w:ascii="Arial" w:hAnsi="Arial" w:cs="Arial"/>
          <w:sz w:val="24"/>
          <w:szCs w:val="24"/>
        </w:rPr>
      </w:pPr>
      <w:r w:rsidRPr="00BC29B3">
        <w:rPr>
          <w:rFonts w:ascii="Arial" w:eastAsia="Calibri" w:hAnsi="Arial" w:cs="Arial"/>
          <w:sz w:val="24"/>
          <w:szCs w:val="24"/>
        </w:rPr>
        <w:t>Los datos provienen del mercado de India, en rupias, y fueron recolectados hasta 2020. Los precios relativos entre marcas y segmentos allá no son los de Colombia. La metodología es trasladable; los números no. Para usarla aquí habría que reentrenar la herramienta con datos locales.</w:t>
      </w:r>
    </w:p>
    <w:p w14:paraId="23238CEE" w14:textId="77777777" w:rsidR="000A4BC7" w:rsidRPr="00BC29B3" w:rsidRDefault="00000000">
      <w:pPr>
        <w:pStyle w:val="Prrafodelista"/>
        <w:numPr>
          <w:ilvl w:val="0"/>
          <w:numId w:val="3"/>
        </w:numPr>
        <w:spacing w:after="90" w:line="276" w:lineRule="auto"/>
        <w:rPr>
          <w:rFonts w:ascii="Arial" w:hAnsi="Arial" w:cs="Arial"/>
          <w:sz w:val="24"/>
          <w:szCs w:val="24"/>
        </w:rPr>
      </w:pPr>
      <w:r w:rsidRPr="00BC29B3">
        <w:rPr>
          <w:rFonts w:ascii="Arial" w:eastAsia="Calibri" w:hAnsi="Arial" w:cs="Arial"/>
          <w:sz w:val="24"/>
          <w:szCs w:val="24"/>
        </w:rPr>
        <w:t>No hay información sobre el estado real del vehículo: accidentes, mantenimiento, desgaste mecánico. Dos carros idénticos en el papel pueden valer muy distinto en la realidad, y la herramienta les asignará el mismo precio.</w:t>
      </w:r>
    </w:p>
    <w:p w14:paraId="25E2476D" w14:textId="77777777" w:rsidR="000A4BC7" w:rsidRPr="00BC29B3" w:rsidRDefault="00000000">
      <w:pPr>
        <w:pStyle w:val="Prrafodelista"/>
        <w:numPr>
          <w:ilvl w:val="0"/>
          <w:numId w:val="3"/>
        </w:numPr>
        <w:spacing w:after="90" w:line="276" w:lineRule="auto"/>
        <w:rPr>
          <w:rFonts w:ascii="Arial" w:hAnsi="Arial" w:cs="Arial"/>
          <w:sz w:val="24"/>
          <w:szCs w:val="24"/>
        </w:rPr>
      </w:pPr>
      <w:r w:rsidRPr="00BC29B3">
        <w:rPr>
          <w:rFonts w:ascii="Arial" w:eastAsia="Calibri" w:hAnsi="Arial" w:cs="Arial"/>
          <w:sz w:val="24"/>
          <w:szCs w:val="24"/>
        </w:rPr>
        <w:t>No se consideran color, equipamiento ni ubicación geográfica, factores que sí influyen en una venta real.</w:t>
      </w:r>
    </w:p>
    <w:p w14:paraId="74DAE694" w14:textId="77777777" w:rsidR="000A4BC7" w:rsidRPr="00BC29B3" w:rsidRDefault="00000000">
      <w:pPr>
        <w:pStyle w:val="Prrafodelista"/>
        <w:numPr>
          <w:ilvl w:val="0"/>
          <w:numId w:val="3"/>
        </w:numPr>
        <w:spacing w:after="90" w:line="276" w:lineRule="auto"/>
        <w:rPr>
          <w:rFonts w:ascii="Arial" w:hAnsi="Arial" w:cs="Arial"/>
          <w:sz w:val="24"/>
          <w:szCs w:val="24"/>
        </w:rPr>
      </w:pPr>
      <w:r w:rsidRPr="00BC29B3">
        <w:rPr>
          <w:rFonts w:ascii="Arial" w:eastAsia="Calibri" w:hAnsi="Arial" w:cs="Arial"/>
          <w:sz w:val="24"/>
          <w:szCs w:val="24"/>
        </w:rPr>
        <w:t>La confiabilidad es desigual: alta en los segmentos con muchos casos, baja en los poco frecuentes. En esos casos el criterio del tasador debe pesar más que la herramienta.</w:t>
      </w:r>
    </w:p>
    <w:p w14:paraId="0CCCAEA2" w14:textId="77777777" w:rsidR="000A4BC7" w:rsidRPr="00BC29B3" w:rsidRDefault="00000000">
      <w:pPr>
        <w:pStyle w:val="Ttulo1"/>
        <w:spacing w:before="300" w:after="150"/>
        <w:rPr>
          <w:rFonts w:ascii="Arial" w:hAnsi="Arial" w:cs="Arial"/>
          <w:sz w:val="24"/>
          <w:szCs w:val="24"/>
        </w:rPr>
      </w:pPr>
      <w:r w:rsidRPr="00BC29B3">
        <w:rPr>
          <w:rFonts w:ascii="Arial" w:eastAsia="Calibri" w:hAnsi="Arial" w:cs="Arial"/>
          <w:b/>
          <w:bCs/>
          <w:color w:val="1F3864"/>
          <w:sz w:val="24"/>
          <w:szCs w:val="24"/>
        </w:rPr>
        <w:t>7. Conclusión</w:t>
      </w:r>
    </w:p>
    <w:p w14:paraId="235441DD"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La herramienta funciona y es útil, pero como apoyo y no como reemplazo. Su mejor uso es dar un punto de partida objetivo y rápido para una conversación de precio, y señalar los casos que se salen del rango esperado para que una persona los revise.</w:t>
      </w:r>
    </w:p>
    <w:p w14:paraId="726F79EC" w14:textId="77777777" w:rsidR="000A4BC7" w:rsidRPr="00BC29B3" w:rsidRDefault="00000000">
      <w:pPr>
        <w:spacing w:after="140" w:line="276" w:lineRule="auto"/>
        <w:rPr>
          <w:rFonts w:ascii="Arial" w:hAnsi="Arial" w:cs="Arial"/>
          <w:sz w:val="24"/>
          <w:szCs w:val="24"/>
        </w:rPr>
      </w:pPr>
      <w:r w:rsidRPr="00BC29B3">
        <w:rPr>
          <w:rFonts w:ascii="Arial" w:eastAsia="Calibri" w:hAnsi="Arial" w:cs="Arial"/>
          <w:sz w:val="24"/>
          <w:szCs w:val="24"/>
        </w:rPr>
        <w:t>El aporte más valioso del proyecto quizá no sea la herramienta en sí, sino lo que reveló sobre el mercado: la tasación debería organizarse primero por segmento y solo después por uso. Ese cambio de orden se puede aplicar mañana mismo, con o sin modelo.</w:t>
      </w:r>
    </w:p>
    <w:sectPr w:rsidR="000A4BC7" w:rsidRPr="00BC29B3">
      <w:pgSz w:w="11906" w:h="16838"/>
      <w:pgMar w:top="1200" w:right="1300" w:bottom="12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335D0"/>
    <w:multiLevelType w:val="hybridMultilevel"/>
    <w:tmpl w:val="53EAC0BA"/>
    <w:lvl w:ilvl="0" w:tplc="43429738">
      <w:start w:val="1"/>
      <w:numFmt w:val="decimal"/>
      <w:lvlText w:val="%1."/>
      <w:lvlJc w:val="left"/>
      <w:pPr>
        <w:ind w:left="460" w:hanging="260"/>
      </w:pPr>
    </w:lvl>
    <w:lvl w:ilvl="1" w:tplc="A2FAC2B6">
      <w:numFmt w:val="decimal"/>
      <w:lvlText w:val=""/>
      <w:lvlJc w:val="left"/>
    </w:lvl>
    <w:lvl w:ilvl="2" w:tplc="5958E864">
      <w:numFmt w:val="decimal"/>
      <w:lvlText w:val=""/>
      <w:lvlJc w:val="left"/>
    </w:lvl>
    <w:lvl w:ilvl="3" w:tplc="CA302ECA">
      <w:numFmt w:val="decimal"/>
      <w:lvlText w:val=""/>
      <w:lvlJc w:val="left"/>
    </w:lvl>
    <w:lvl w:ilvl="4" w:tplc="468CD7B4">
      <w:numFmt w:val="decimal"/>
      <w:lvlText w:val=""/>
      <w:lvlJc w:val="left"/>
    </w:lvl>
    <w:lvl w:ilvl="5" w:tplc="A4DC0910">
      <w:numFmt w:val="decimal"/>
      <w:lvlText w:val=""/>
      <w:lvlJc w:val="left"/>
    </w:lvl>
    <w:lvl w:ilvl="6" w:tplc="F8127CA6">
      <w:numFmt w:val="decimal"/>
      <w:lvlText w:val=""/>
      <w:lvlJc w:val="left"/>
    </w:lvl>
    <w:lvl w:ilvl="7" w:tplc="504A8B92">
      <w:numFmt w:val="decimal"/>
      <w:lvlText w:val=""/>
      <w:lvlJc w:val="left"/>
    </w:lvl>
    <w:lvl w:ilvl="8" w:tplc="E640D438">
      <w:numFmt w:val="decimal"/>
      <w:lvlText w:val=""/>
      <w:lvlJc w:val="left"/>
    </w:lvl>
  </w:abstractNum>
  <w:abstractNum w:abstractNumId="1" w15:restartNumberingAfterBreak="0">
    <w:nsid w:val="6CD20C0A"/>
    <w:multiLevelType w:val="hybridMultilevel"/>
    <w:tmpl w:val="D932F842"/>
    <w:lvl w:ilvl="0" w:tplc="A38E1BDE">
      <w:start w:val="1"/>
      <w:numFmt w:val="bullet"/>
      <w:lvlText w:val="●"/>
      <w:lvlJc w:val="left"/>
      <w:pPr>
        <w:ind w:left="720" w:hanging="360"/>
      </w:pPr>
    </w:lvl>
    <w:lvl w:ilvl="1" w:tplc="59DEF86A">
      <w:start w:val="1"/>
      <w:numFmt w:val="bullet"/>
      <w:lvlText w:val="○"/>
      <w:lvlJc w:val="left"/>
      <w:pPr>
        <w:ind w:left="1440" w:hanging="360"/>
      </w:pPr>
    </w:lvl>
    <w:lvl w:ilvl="2" w:tplc="8496FE32">
      <w:start w:val="1"/>
      <w:numFmt w:val="bullet"/>
      <w:lvlText w:val="■"/>
      <w:lvlJc w:val="left"/>
      <w:pPr>
        <w:ind w:left="2160" w:hanging="360"/>
      </w:pPr>
    </w:lvl>
    <w:lvl w:ilvl="3" w:tplc="806657C6">
      <w:start w:val="1"/>
      <w:numFmt w:val="bullet"/>
      <w:lvlText w:val="●"/>
      <w:lvlJc w:val="left"/>
      <w:pPr>
        <w:ind w:left="2880" w:hanging="360"/>
      </w:pPr>
    </w:lvl>
    <w:lvl w:ilvl="4" w:tplc="AD760F2C">
      <w:start w:val="1"/>
      <w:numFmt w:val="bullet"/>
      <w:lvlText w:val="○"/>
      <w:lvlJc w:val="left"/>
      <w:pPr>
        <w:ind w:left="3600" w:hanging="360"/>
      </w:pPr>
    </w:lvl>
    <w:lvl w:ilvl="5" w:tplc="64D83A20">
      <w:start w:val="1"/>
      <w:numFmt w:val="bullet"/>
      <w:lvlText w:val="■"/>
      <w:lvlJc w:val="left"/>
      <w:pPr>
        <w:ind w:left="4320" w:hanging="360"/>
      </w:pPr>
    </w:lvl>
    <w:lvl w:ilvl="6" w:tplc="4F00183A">
      <w:start w:val="1"/>
      <w:numFmt w:val="bullet"/>
      <w:lvlText w:val="●"/>
      <w:lvlJc w:val="left"/>
      <w:pPr>
        <w:ind w:left="5040" w:hanging="360"/>
      </w:pPr>
    </w:lvl>
    <w:lvl w:ilvl="7" w:tplc="EFD09BD8">
      <w:start w:val="1"/>
      <w:numFmt w:val="bullet"/>
      <w:lvlText w:val="●"/>
      <w:lvlJc w:val="left"/>
      <w:pPr>
        <w:ind w:left="5760" w:hanging="360"/>
      </w:pPr>
    </w:lvl>
    <w:lvl w:ilvl="8" w:tplc="2BEC4732">
      <w:start w:val="1"/>
      <w:numFmt w:val="bullet"/>
      <w:lvlText w:val="●"/>
      <w:lvlJc w:val="left"/>
      <w:pPr>
        <w:ind w:left="6480" w:hanging="360"/>
      </w:pPr>
    </w:lvl>
  </w:abstractNum>
  <w:abstractNum w:abstractNumId="2" w15:restartNumberingAfterBreak="0">
    <w:nsid w:val="784B26F6"/>
    <w:multiLevelType w:val="hybridMultilevel"/>
    <w:tmpl w:val="ABBCF1C4"/>
    <w:lvl w:ilvl="0" w:tplc="AA5C1C8C">
      <w:start w:val="1"/>
      <w:numFmt w:val="bullet"/>
      <w:lvlText w:val="•"/>
      <w:lvlJc w:val="left"/>
      <w:pPr>
        <w:ind w:left="460" w:hanging="260"/>
      </w:pPr>
    </w:lvl>
    <w:lvl w:ilvl="1" w:tplc="B1E2CB24">
      <w:numFmt w:val="decimal"/>
      <w:lvlText w:val=""/>
      <w:lvlJc w:val="left"/>
    </w:lvl>
    <w:lvl w:ilvl="2" w:tplc="CFFA506A">
      <w:numFmt w:val="decimal"/>
      <w:lvlText w:val=""/>
      <w:lvlJc w:val="left"/>
    </w:lvl>
    <w:lvl w:ilvl="3" w:tplc="80D2699C">
      <w:numFmt w:val="decimal"/>
      <w:lvlText w:val=""/>
      <w:lvlJc w:val="left"/>
    </w:lvl>
    <w:lvl w:ilvl="4" w:tplc="DDB87608">
      <w:numFmt w:val="decimal"/>
      <w:lvlText w:val=""/>
      <w:lvlJc w:val="left"/>
    </w:lvl>
    <w:lvl w:ilvl="5" w:tplc="96887CEE">
      <w:numFmt w:val="decimal"/>
      <w:lvlText w:val=""/>
      <w:lvlJc w:val="left"/>
    </w:lvl>
    <w:lvl w:ilvl="6" w:tplc="43403C44">
      <w:numFmt w:val="decimal"/>
      <w:lvlText w:val=""/>
      <w:lvlJc w:val="left"/>
    </w:lvl>
    <w:lvl w:ilvl="7" w:tplc="7A36E1AC">
      <w:numFmt w:val="decimal"/>
      <w:lvlText w:val=""/>
      <w:lvlJc w:val="left"/>
    </w:lvl>
    <w:lvl w:ilvl="8" w:tplc="424A71F4">
      <w:numFmt w:val="decimal"/>
      <w:lvlText w:val=""/>
      <w:lvlJc w:val="left"/>
    </w:lvl>
  </w:abstractNum>
  <w:num w:numId="1" w16cid:durableId="2104300102">
    <w:abstractNumId w:val="1"/>
    <w:lvlOverride w:ilvl="0">
      <w:startOverride w:val="1"/>
    </w:lvlOverride>
  </w:num>
  <w:num w:numId="2" w16cid:durableId="1569926116">
    <w:abstractNumId w:val="2"/>
    <w:lvlOverride w:ilvl="0">
      <w:startOverride w:val="1"/>
    </w:lvlOverride>
  </w:num>
  <w:num w:numId="3" w16cid:durableId="3625573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4BC7"/>
    <w:rsid w:val="000A4BC7"/>
    <w:rsid w:val="007419F6"/>
    <w:rsid w:val="00942B9A"/>
    <w:rsid w:val="00965BEE"/>
    <w:rsid w:val="00BC29B3"/>
    <w:rsid w:val="00F327C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CC6F5"/>
  <w15:docId w15:val="{062F8A5F-8251-4446-B18E-02E98EDE11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825</Words>
  <Characters>4538</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Arcila Gutierrez</cp:lastModifiedBy>
  <cp:revision>3</cp:revision>
  <dcterms:created xsi:type="dcterms:W3CDTF">2026-08-29T15:39:00Z</dcterms:created>
  <dcterms:modified xsi:type="dcterms:W3CDTF">2026-08-29T15:44:00Z</dcterms:modified>
</cp:coreProperties>
</file>