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Arquitectura SaaS Educativo Knorooms — Colegios y Universidades</w:t>
      </w:r>
    </w:p>
    <w:p>
      <w:pPr/>
      <w:r>
        <w:t xml:space="preserve">Oct 17, 2026</w:t>
      </w:r>
      <w:r>
        <w:t xml:space="preserve"> · </w:t>
      </w:r>
      <w:r>
        <w:t xml:space="preserve">@Knorooms</w:t>
      </w:r>
    </w:p>
    <w:p>
      <w:pPr>
        <w:pStyle w:val="Heading2"/>
      </w:pPr>
      <w:r>
        <w:t xml:space="preserve">Resumen ejecutivo</w:t>
      </w:r>
    </w:p>
    <w:p>
      <w:pPr/>
      <w:r>
        <w:t xml:space="preserve">Recomendamos construir KNOROOMS Edu como una sola plataforma multi-tenant con un </w:t>
      </w:r>
      <w:r>
        <w:rPr>
          <w:b/>
        </w:rPr>
        <w:t xml:space="preserve">núcleo común</w:t>
      </w:r>
      <w:r>
        <w:t xml:space="preserve"> (centros, personas, permisos, períodos, matrícula) y dos </w:t>
      </w:r>
      <w:r>
        <w:rPr>
          <w:b/>
        </w:rPr>
        <w:t xml:space="preserve">perfiles académicos</w:t>
      </w:r>
      <w:r>
        <w:t xml:space="preserve"> intercambiables: </w:t>
      </w:r>
      <w:r>
        <w:rPr>
          <w:i/>
        </w:rPr>
        <w:t xml:space="preserve">Escolar</w:t>
      </w:r>
      <w:r>
        <w:t xml:space="preserve"> (Inicial, Primaria, Secundaria, MINERD) y </w:t>
      </w:r>
      <w:r>
        <w:rPr>
          <w:i/>
        </w:rPr>
        <w:t xml:space="preserve">Superior</w:t>
      </w:r>
      <w:r>
        <w:t xml:space="preserve"> (créditos, pensum, cuatrimestres, MESCyT). Así un mismo código sirve a colegios y universidades sin bifurcar el producto.</w:t>
      </w:r>
    </w:p>
    <w:p>
      <w:pPr/>
      <w:r>
        <w:t xml:space="preserve">La propuesta original (v1.0, 17-oct-2026) resuelve bien el ciclo escolar: año → grado y sección → materia, expediente permanente, evaluación versionada, portal familiar y cobros básicos. Este documento la convierte en arquitectura y añade lo que faltaba para competir con los estándares de la industria.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60"/>
        <w:gridCol w:w="4999"/>
      </w:tblGrid>
      <w:tr>
        <w:trPr>
          <w:tblHeader/>
        </w:trPr>
        <w:tc>
          <w:tcPr>
            <w:tcW w:w="4360" w:type="dxa"/>
            <w:shd w:val="clear" w:color="auto" w:fill="F2F2F2"/>
          </w:tcPr>
          <w:p>
            <w:pPr/>
            <w:r>
              <w:t xml:space="preserve">Brecha en la propuesta</w:t>
            </w:r>
          </w:p>
        </w:tc>
        <w:tc>
          <w:tcPr>
            <w:tcW w:w="4999" w:type="dxa"/>
            <w:shd w:val="clear" w:color="auto" w:fill="F2F2F2"/>
          </w:tcPr>
          <w:p>
            <w:pPr/>
            <w:r>
              <w:t xml:space="preserve">Qué se añade aquí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Solo contempla colegios</w:t>
            </w:r>
          </w:p>
        </w:tc>
        <w:tc>
          <w:tcPr>
            <w:tcW w:w="4999" w:type="dxa"/>
          </w:tcPr>
          <w:p>
            <w:pPr/>
            <w:r>
              <w:t xml:space="preserve">Perfil universitario: carreras, pensum, prerrequisitos, créditos, índice académico, selección de materias, graduación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Admisiones fuera del sistema</w:t>
            </w:r>
          </w:p>
        </w:tc>
        <w:tc>
          <w:tcPr>
            <w:tcW w:w="4999" w:type="dxa"/>
          </w:tcPr>
          <w:p>
            <w:pPr/>
            <w:r>
              <w:t xml:space="preserve">CRM de admisiones integrado con GoHighLevel (leads, visitas, solicitudes, becas)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Sin estándares de interoperabilidad</w:t>
            </w:r>
          </w:p>
        </w:tc>
        <w:tc>
          <w:tcPr>
            <w:tcW w:w="4999" w:type="dxa"/>
          </w:tcPr>
          <w:p>
            <w:pPr/>
            <w:r>
              <w:t xml:space="preserve">OneRoster 1.2, LTI 1.3, SSO (SAML/OIDC), SCIM, Open Badges 3.0 / CLR, API REST + webhooks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Pagos y facturación en etapa posterior</w:t>
            </w:r>
          </w:p>
        </w:tc>
        <w:tc>
          <w:tcPr>
            <w:tcW w:w="4999" w:type="dxa"/>
          </w:tcPr>
          <w:p>
            <w:pPr/>
            <w:r>
              <w:t xml:space="preserve">Pasarelas locales, conciliación bancaria y comprobantes fiscales electrónicos (e-CF, DGII) como módulo propio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Comunicación solo dentro del portal</w:t>
            </w:r>
          </w:p>
        </w:tc>
        <w:tc>
          <w:tcPr>
            <w:tcW w:w="4999" w:type="dxa"/>
          </w:tcPr>
          <w:p>
            <w:pPr/>
            <w:r>
              <w:t xml:space="preserve">Notificaciones por WhatsApp, SMS, email y push, con preferencias por responsable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Sin analítica</w:t>
            </w:r>
          </w:p>
        </w:tc>
        <w:tc>
          <w:tcPr>
            <w:tcW w:w="4999" w:type="dxa"/>
          </w:tcPr>
          <w:p>
            <w:pPr/>
            <w:r>
              <w:t xml:space="preserve">Alertas tempranas de deserción, tableros por rol y almacén analítico separado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Cumplimiento poco definido</w:t>
            </w:r>
          </w:p>
        </w:tc>
        <w:tc>
          <w:tcPr>
            <w:tcW w:w="4999" w:type="dxa"/>
          </w:tcPr>
          <w:p>
            <w:pPr/>
            <w:r>
              <w:t xml:space="preserve">Ley 172-13 de datos personales, protección de menores, WCAG 2.2, auditoría inmutable, SLA</w:t>
            </w:r>
          </w:p>
        </w:tc>
      </w:tr>
      <w:tr>
        <w:tc>
          <w:tcPr>
            <w:tcW w:w="4360" w:type="dxa"/>
          </w:tcPr>
          <w:p>
            <w:pPr/>
            <w:r>
              <w:t xml:space="preserve">Horarios y LMS pospuestos sin diseño</w:t>
            </w:r>
          </w:p>
        </w:tc>
        <w:tc>
          <w:tcPr>
            <w:tcW w:w="4999" w:type="dxa"/>
          </w:tcPr>
          <w:p>
            <w:pPr/>
            <w:r>
              <w:t xml:space="preserve">Motor de horarios y aula virtual ligera, o integración Moodle/Google Classroom/Teams vía LTI</w:t>
            </w:r>
          </w:p>
        </w:tc>
      </w:tr>
    </w:tbl>
    <w:p>
      <w:pPr>
        <w:pStyle w:val="Heading2"/>
      </w:pPr>
      <w:r>
        <w:t xml:space="preserve">Arquitectura de desarrollo</w:t>
      </w:r>
    </w:p>
    <w:p>
      <w:pPr/>
      <w:r>
        <w:t xml:space="preserve">La recomendación es un </w:t>
      </w:r>
      <w:r>
        <w:rPr>
          <w:b/>
        </w:rPr>
        <w:t xml:space="preserve">monolito modular</w:t>
      </w:r>
      <w:r>
        <w:t xml:space="preserve"> en NestJS sobre PostgreSQL, con aislamiento por centro mediante Row-Level Security, desplegado en contenedores en la nube. Es el patrón que usan la mayoría de los SIS modernos en su etapa de crecimiento: un solo despliegue, límites de módulo estrictos y la opción de extraer servicios cuando la carga lo justifique.</w:t>
      </w:r>
    </w:p>
    <w:p>
      <w:pPr/>
      <w:r>
        <w:drawing>
          <wp:inline distT="0" distB="0" distL="0" distR="0">
            <wp:extent cx="5486400" cy="5363935"/>
            <wp:docPr id="1" name="image1" descr="arquitectura de referencia · canales, núcleo, eventos, datos e integraci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referencia · canales, núcleo, eventos, datos e integracion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referencia · canales, núcleo, eventos, datos e integraciones</w:t>
      </w:r>
    </w:p>
    <w:p>
      <w:pPr/>
      <w:r>
        <w:t xml:space="preserve">Toda petición entra por el borde, que identifica al usuario y al centro; los módulos nunca se llaman entre tablas, publican eventos que los workers y el hub llevan a los sistemas externos.</w:t>
      </w:r>
    </w:p>
    <w:p>
      <w:pPr>
        <w:pStyle w:val="Heading3"/>
      </w:pPr>
      <w:r>
        <w:t xml:space="preserve">Decisiones clave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Multi-tenancy híbrido.</w:t>
      </w:r>
      <w:r>
        <w:t xml:space="preserve"> Base de datos compartida con columna </w:t>
      </w:r>
      <w:r>
        <w:rPr>
          <w:rStyle w:val="CodeChar"/>
        </w:rPr>
        <w:t xml:space="preserve">tenant_id</w:t>
      </w:r>
      <w:r>
        <w:t xml:space="preserve"> y políticas RLS de PostgreSQL para colegios pequeños y medianos (plan estándar). Esquema o base dedicada para universidades o clientes enterprise que lo exijan por contrato. El tenant se resuelve desde el subdominio o dominio propio y viaja en el token; nunca se acepta desde un parámetro del cliente.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Monolito modular, no microservicios desde el día uno.</w:t>
      </w:r>
      <w:r>
        <w:t xml:space="preserve"> Cada módulo (Académico, Finanzas, Comunicación…) es un paquete con su propio esquema, servicios y API pública interna. Los módulos se comunican por eventos de dominio, no por consultas cruzadas a tablas ajenas.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Arquitectura orientada a eventos.</w:t>
      </w:r>
      <w:r>
        <w:t xml:space="preserve"> Cada cambio relevante (</w:t>
      </w:r>
      <w:r>
        <w:rPr>
          <w:rStyle w:val="CodeChar"/>
        </w:rPr>
        <w:t xml:space="preserve">matricula.creada</w:t>
      </w:r>
      <w:r>
        <w:t xml:space="preserve">, </w:t>
      </w:r>
      <w:r>
        <w:rPr>
          <w:rStyle w:val="CodeChar"/>
        </w:rPr>
        <w:t xml:space="preserve">calificacion.publicada</w:t>
      </w:r>
      <w:r>
        <w:t xml:space="preserve">, </w:t>
      </w:r>
      <w:r>
        <w:rPr>
          <w:rStyle w:val="CodeChar"/>
        </w:rPr>
        <w:t xml:space="preserve">pago.aplicado</w:t>
      </w:r>
      <w:r>
        <w:t xml:space="preserve">) se guarda en una tabla outbox y se publica a una cola. De ahí se alimentan notificaciones, webhooks, integraciones y analítica sin acoplar el núcleo.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Perfiles académicos por configuración.</w:t>
      </w:r>
      <w:r>
        <w:t xml:space="preserve"> Las reglas de evaluación, promoción y cálculo de índice son plantillas versionadas por período, no código condicional. Un motor de reglas evaluable (expresiones declarativas) permite explicar cada nota calculada.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API-first.</w:t>
      </w:r>
      <w:r>
        <w:t xml:space="preserve"> Todo lo que hace la interfaz web lo hace la API pública documentada (OpenAPI 3.1). Las apps móviles, integraciones y clientes usan la misma API.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Feature flags por plan.</w:t>
      </w:r>
      <w:r>
        <w:t xml:space="preserve"> Los módulos contratados se validan en el servidor con un servicio de entitlements; desactivar un módulo oculta funciones, nunca borra datos.</w:t>
      </w:r>
    </w:p>
    <w:p>
      <w:pPr>
        <w:pStyle w:val="Heading3"/>
      </w:pPr>
      <w:r>
        <w:t xml:space="preserve">Stack recomendado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9"/>
        <w:gridCol w:w="3478"/>
        <w:gridCol w:w="3223"/>
      </w:tblGrid>
      <w:tr>
        <w:trPr>
          <w:tblHeader/>
        </w:trPr>
        <w:tc>
          <w:tcPr>
            <w:tcW w:w="2659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478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3223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Web (personal y portal)</w:t>
            </w:r>
          </w:p>
        </w:tc>
        <w:tc>
          <w:tcPr>
            <w:tcW w:w="3478" w:type="dxa"/>
          </w:tcPr>
          <w:p>
            <w:pPr/>
            <w:r>
              <w:t xml:space="preserve">React + Next.js, TypeScript, Tailwind, PWA</w:t>
            </w:r>
          </w:p>
        </w:tc>
        <w:tc>
          <w:tcPr>
            <w:tcW w:w="3223" w:type="dxa"/>
          </w:tcPr>
          <w:p>
            <w:pPr/>
            <w:r>
              <w:t xml:space="preserve">Experiencia del equipo; portal familiar instalable y usable desde el celular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Móvil (fase 2)</w:t>
            </w:r>
          </w:p>
        </w:tc>
        <w:tc>
          <w:tcPr>
            <w:tcW w:w="3478" w:type="dxa"/>
          </w:tcPr>
          <w:p>
            <w:pPr/>
            <w:r>
              <w:t xml:space="preserve">React Native / Expo</w:t>
            </w:r>
          </w:p>
        </w:tc>
        <w:tc>
          <w:tcPr>
            <w:tcW w:w="3223" w:type="dxa"/>
          </w:tcPr>
          <w:p>
            <w:pPr/>
            <w:r>
              <w:t xml:space="preserve">Reutiliza lógica y componentes; push nativo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API y dominio</w:t>
            </w:r>
          </w:p>
        </w:tc>
        <w:tc>
          <w:tcPr>
            <w:tcW w:w="3478" w:type="dxa"/>
          </w:tcPr>
          <w:p>
            <w:pPr/>
            <w:r>
              <w:t xml:space="preserve">NestJS (TypeScript), REST + GraphQL opcional para tableros</w:t>
            </w:r>
          </w:p>
        </w:tc>
        <w:tc>
          <w:tcPr>
            <w:tcW w:w="3223" w:type="dxa"/>
          </w:tcPr>
          <w:p>
            <w:pPr/>
            <w:r>
              <w:t xml:space="preserve">Modularidad, inyección de dependencias, validación tipada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Base transaccional</w:t>
            </w:r>
          </w:p>
        </w:tc>
        <w:tc>
          <w:tcPr>
            <w:tcW w:w="3478" w:type="dxa"/>
          </w:tcPr>
          <w:p>
            <w:pPr/>
            <w:r>
              <w:t xml:space="preserve">PostgreSQL 16+ con RLS, réplica de lectura</w:t>
            </w:r>
          </w:p>
        </w:tc>
        <w:tc>
          <w:tcPr>
            <w:tcW w:w="3223" w:type="dxa"/>
          </w:tcPr>
          <w:p>
            <w:pPr/>
            <w:r>
              <w:t xml:space="preserve">Integridad referencial, aislamiento por tenant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Caché y colas</w:t>
            </w:r>
          </w:p>
        </w:tc>
        <w:tc>
          <w:tcPr>
            <w:tcW w:w="3478" w:type="dxa"/>
          </w:tcPr>
          <w:p>
            <w:pPr/>
            <w:r>
              <w:t xml:space="preserve">Redis + BullMQ (o SQS/Pub/Sub gestionado)</w:t>
            </w:r>
          </w:p>
        </w:tc>
        <w:tc>
          <w:tcPr>
            <w:tcW w:w="3223" w:type="dxa"/>
          </w:tcPr>
          <w:p>
            <w:pPr/>
            <w:r>
              <w:t xml:space="preserve">Trabajos en segundo plano: boletines, importaciones, notificaciones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Archivos</w:t>
            </w:r>
          </w:p>
        </w:tc>
        <w:tc>
          <w:tcPr>
            <w:tcW w:w="3478" w:type="dxa"/>
          </w:tcPr>
          <w:p>
            <w:pPr/>
            <w:r>
              <w:t xml:space="preserve">Almacenamiento de objetos (S3 / GCS) con cifrado y URLs firmadas</w:t>
            </w:r>
          </w:p>
        </w:tc>
        <w:tc>
          <w:tcPr>
            <w:tcW w:w="3223" w:type="dxa"/>
          </w:tcPr>
          <w:p>
            <w:pPr/>
            <w:r>
              <w:t xml:space="preserve">Expedientes, actas, comprobantes, fotos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Búsqueda</w:t>
            </w:r>
          </w:p>
        </w:tc>
        <w:tc>
          <w:tcPr>
            <w:tcW w:w="3478" w:type="dxa"/>
          </w:tcPr>
          <w:p>
            <w:pPr/>
            <w:r>
              <w:t xml:space="preserve">PostgreSQL full-text; OpenSearch cuando haya volumen</w:t>
            </w:r>
          </w:p>
        </w:tc>
        <w:tc>
          <w:tcPr>
            <w:tcW w:w="3223" w:type="dxa"/>
          </w:tcPr>
          <w:p>
            <w:pPr/>
            <w:r>
              <w:t xml:space="preserve">Búsqueda de estudiantes, expedientes y documentos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Analítica</w:t>
            </w:r>
          </w:p>
        </w:tc>
        <w:tc>
          <w:tcPr>
            <w:tcW w:w="3478" w:type="dxa"/>
          </w:tcPr>
          <w:p>
            <w:pPr/>
            <w:r>
              <w:t xml:space="preserve">Réplica → almacén columnar (BigQuery / ClickHouse) + Metabase o tableros propios</w:t>
            </w:r>
          </w:p>
        </w:tc>
        <w:tc>
          <w:tcPr>
            <w:tcW w:w="3223" w:type="dxa"/>
          </w:tcPr>
          <w:p>
            <w:pPr/>
            <w:r>
              <w:t xml:space="preserve">Separa reportes pesados de la operación diaria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Identidad</w:t>
            </w:r>
          </w:p>
        </w:tc>
        <w:tc>
          <w:tcPr>
            <w:tcW w:w="3478" w:type="dxa"/>
          </w:tcPr>
          <w:p>
            <w:pPr/>
            <w:r>
              <w:t xml:space="preserve">Keycloak, Auth0 o Cognito; OIDC/SAML, MFA, SSO Google y Microsoft</w:t>
            </w:r>
          </w:p>
        </w:tc>
        <w:tc>
          <w:tcPr>
            <w:tcW w:w="3223" w:type="dxa"/>
          </w:tcPr>
          <w:p>
            <w:pPr/>
            <w:r>
              <w:t xml:space="preserve">Estándar en educación; evita construir seguridad propia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Documentos</w:t>
            </w:r>
          </w:p>
        </w:tc>
        <w:tc>
          <w:tcPr>
            <w:tcW w:w="3478" w:type="dxa"/>
          </w:tcPr>
          <w:p>
            <w:pPr/>
            <w:r>
              <w:t xml:space="preserve">Generador PDF en cola (plantillas HTML) con QR de verificación</w:t>
            </w:r>
          </w:p>
        </w:tc>
        <w:tc>
          <w:tcPr>
            <w:tcW w:w="3223" w:type="dxa"/>
          </w:tcPr>
          <w:p>
            <w:pPr/>
            <w:r>
              <w:t xml:space="preserve">Boletines, récords de notas, certificados verificables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Infraestructura</w:t>
            </w:r>
          </w:p>
        </w:tc>
        <w:tc>
          <w:tcPr>
            <w:tcW w:w="3478" w:type="dxa"/>
          </w:tcPr>
          <w:p>
            <w:pPr/>
            <w:r>
              <w:t xml:space="preserve">Contenedores (ECS/Cloud Run/Kubernetes), Terraform, CDN, WAF</w:t>
            </w:r>
          </w:p>
        </w:tc>
        <w:tc>
          <w:tcPr>
            <w:tcW w:w="3223" w:type="dxa"/>
          </w:tcPr>
          <w:p>
            <w:pPr/>
            <w:r>
              <w:t xml:space="preserve">Reproducible, escalable por demanda en cierres de período</w:t>
            </w:r>
          </w:p>
        </w:tc>
      </w:tr>
      <w:tr>
        <w:tc>
          <w:tcPr>
            <w:tcW w:w="2659" w:type="dxa"/>
          </w:tcPr>
          <w:p>
            <w:pPr/>
            <w:r>
              <w:t xml:space="preserve">Observabilidad</w:t>
            </w:r>
          </w:p>
        </w:tc>
        <w:tc>
          <w:tcPr>
            <w:tcW w:w="3478" w:type="dxa"/>
          </w:tcPr>
          <w:p>
            <w:pPr/>
            <w:r>
              <w:t xml:space="preserve">OpenTelemetry, logs centralizados, Sentry, métricas por tenant</w:t>
            </w:r>
          </w:p>
        </w:tc>
        <w:tc>
          <w:tcPr>
            <w:tcW w:w="3223" w:type="dxa"/>
          </w:tcPr>
          <w:p>
            <w:pPr/>
            <w:r>
              <w:t xml:space="preserve">Detectar errores y medir el costo de cada centro</w:t>
            </w:r>
          </w:p>
        </w:tc>
      </w:tr>
    </w:tbl>
    <w:p>
      <w:pPr/>
      <w:r>
        <w:t xml:space="preserve">Los picos de carga se concentran en inscripciones, cierre de período y publicación de boletines; la arquitectura escala horizontalmente la API y los workers en esas ventanas.</w:t>
      </w:r>
    </w:p>
    <w:p>
      <w:pPr>
        <w:pStyle w:val="Heading2"/>
      </w:pPr>
      <w:r>
        <w:t xml:space="preserve">Módulos a desarrollar</w:t>
      </w:r>
    </w:p>
    <w:p>
      <w:pPr/>
      <w:r>
        <w:t xml:space="preserve">Son 18 módulos en cuatro capas; la fase 1 (MVP) repite el alcance de la propuesta original y suma lo mínimo para vender también a universidades en la fase 2. Las dependencias se validan en el servidor: ningún módulo se activa sin los que necesita.</w:t>
      </w:r>
    </w:p>
    <w:p>
      <w:pPr>
        <w:pStyle w:val="Heading3"/>
      </w:pPr>
      <w:r>
        <w:t xml:space="preserve">Capa 1 — Plataforma (siempre activa)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8"/>
        <w:gridCol w:w="5051"/>
        <w:gridCol w:w="770"/>
      </w:tblGrid>
      <w:tr>
        <w:trPr>
          <w:tblHeader/>
        </w:trPr>
        <w:tc>
          <w:tcPr>
            <w:tcW w:w="3538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Funciones principales</w:t>
            </w:r>
          </w:p>
        </w:tc>
        <w:tc>
          <w:tcPr>
            <w:tcW w:w="770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3538" w:type="dxa"/>
          </w:tcPr>
          <w:p>
            <w:pPr/>
            <w:r>
              <w:t xml:space="preserve">1. Consola SaaS (Superadmin)</w:t>
            </w:r>
          </w:p>
        </w:tc>
        <w:tc>
          <w:tcPr>
            <w:tcW w:w="5051" w:type="dxa"/>
          </w:tcPr>
          <w:p>
            <w:pPr/>
            <w:r>
              <w:t xml:space="preserve">Alta de centros, planes, entitlements, facturación de suscripción, métricas de uso, soporte con acceso temporal</w:t>
            </w:r>
          </w:p>
        </w:tc>
        <w:tc>
          <w:tcPr>
            <w:tcW w:w="77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8" w:type="dxa"/>
          </w:tcPr>
          <w:p>
            <w:pPr/>
            <w:r>
              <w:t xml:space="preserve">2. Identidad y acceso</w:t>
            </w:r>
          </w:p>
        </w:tc>
        <w:tc>
          <w:tcPr>
            <w:tcW w:w="5051" w:type="dxa"/>
          </w:tcPr>
          <w:p>
            <w:pPr/>
            <w:r>
              <w:t xml:space="preserve">Usuarios, roles, MFA, SSO Google/Microsoft, invitaciones, recuperación de cuenta, sesiones</w:t>
            </w:r>
          </w:p>
        </w:tc>
        <w:tc>
          <w:tcPr>
            <w:tcW w:w="77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8" w:type="dxa"/>
          </w:tcPr>
          <w:p>
            <w:pPr/>
            <w:r>
              <w:t xml:space="preserve">3. Configuración institucional</w:t>
            </w:r>
          </w:p>
        </w:tc>
        <w:tc>
          <w:tcPr>
            <w:tcW w:w="5051" w:type="dxa"/>
          </w:tcPr>
          <w:p>
            <w:pPr/>
            <w:r>
              <w:t xml:space="preserve">Identidad visual, dominio propio, sedes, jornadas, niveles, calendario, períodos, plantillas</w:t>
            </w:r>
          </w:p>
        </w:tc>
        <w:tc>
          <w:tcPr>
            <w:tcW w:w="77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8" w:type="dxa"/>
          </w:tcPr>
          <w:p>
            <w:pPr/>
            <w:r>
              <w:t xml:space="preserve">4. Auditoría y cumplimiento</w:t>
            </w:r>
          </w:p>
        </w:tc>
        <w:tc>
          <w:tcPr>
            <w:tcW w:w="5051" w:type="dxa"/>
          </w:tcPr>
          <w:p>
            <w:pPr/>
            <w:r>
              <w:t xml:space="preserve">Bitácora inmutable, consentimientos, solicitudes de acceso/rectificación, políticas de retención</w:t>
            </w:r>
          </w:p>
        </w:tc>
        <w:tc>
          <w:tcPr>
            <w:tcW w:w="770" w:type="dxa"/>
          </w:tcPr>
          <w:p>
            <w:pPr/>
            <w:r>
              <w:t xml:space="preserve">1</w:t>
            </w:r>
          </w:p>
        </w:tc>
      </w:tr>
      <w:tr>
        <w:tc>
          <w:tcPr>
            <w:tcW w:w="3538" w:type="dxa"/>
          </w:tcPr>
          <w:p>
            <w:pPr/>
            <w:r>
              <w:t xml:space="preserve">5. Importación y exportación</w:t>
            </w:r>
          </w:p>
        </w:tc>
        <w:tc>
          <w:tcPr>
            <w:tcW w:w="5051" w:type="dxa"/>
          </w:tcPr>
          <w:p>
            <w:pPr/>
            <w:r>
              <w:t xml:space="preserve">Carga masiva con previsualización, deduplicación, mapeo de columnas; exportación completa del tenant</w:t>
            </w:r>
          </w:p>
        </w:tc>
        <w:tc>
          <w:tcPr>
            <w:tcW w:w="770" w:type="dxa"/>
          </w:tcPr>
          <w:p>
            <w:pPr/>
            <w:r>
              <w:t xml:space="preserve">1</w:t>
            </w:r>
          </w:p>
        </w:tc>
      </w:tr>
    </w:tbl>
    <w:p>
      <w:pPr>
        <w:pStyle w:val="Heading3"/>
      </w:pPr>
      <w:r>
        <w:t xml:space="preserve">Capa 2 — Núcleo académico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2"/>
        <w:gridCol w:w="2877"/>
        <w:gridCol w:w="3713"/>
        <w:gridCol w:w="1068"/>
      </w:tblGrid>
      <w:tr>
        <w:trPr>
          <w:tblHeader/>
        </w:trPr>
        <w:tc>
          <w:tcPr>
            <w:tcW w:w="1702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2877" w:type="dxa"/>
            <w:shd w:val="clear" w:color="auto" w:fill="F2F2F2"/>
          </w:tcPr>
          <w:p>
            <w:pPr/>
            <w:r>
              <w:t xml:space="preserve">Escolar (MINERD)</w:t>
            </w:r>
          </w:p>
        </w:tc>
        <w:tc>
          <w:tcPr>
            <w:tcW w:w="3713" w:type="dxa"/>
            <w:shd w:val="clear" w:color="auto" w:fill="F2F2F2"/>
          </w:tcPr>
          <w:p>
            <w:pPr/>
            <w:r>
              <w:t xml:space="preserve">Superior (MESCyT)</w:t>
            </w:r>
          </w:p>
        </w:tc>
        <w:tc>
          <w:tcPr>
            <w:tcW w:w="1068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6. Admisiones (CRM)</w:t>
            </w:r>
          </w:p>
        </w:tc>
        <w:tc>
          <w:tcPr>
            <w:tcW w:w="2877" w:type="dxa"/>
          </w:tcPr>
          <w:p>
            <w:pPr/>
            <w:r>
              <w:t xml:space="preserve">Solicitudes, visitas, entrevistas, lista de espera, sincronía con GHL</w:t>
            </w:r>
          </w:p>
        </w:tc>
        <w:tc>
          <w:tcPr>
            <w:tcW w:w="3713" w:type="dxa"/>
          </w:tcPr>
          <w:p>
            <w:pPr/>
            <w:r>
              <w:t xml:space="preserve">Prospectos por carrera, pruebas de admisión (POMA/PAA), convalidaciones, becas</w:t>
            </w:r>
          </w:p>
        </w:tc>
        <w:tc>
          <w:tcPr>
            <w:tcW w:w="1068" w:type="dxa"/>
          </w:tcPr>
          <w:p>
            <w:pPr/>
            <w:r>
              <w:t xml:space="preserve">1 escolar / 2 superior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7. Expediente y matrícula</w:t>
            </w:r>
          </w:p>
        </w:tc>
        <w:tc>
          <w:tcPr>
            <w:tcW w:w="2877" w:type="dxa"/>
          </w:tcPr>
          <w:p>
            <w:pPr/>
            <w:r>
              <w:t xml:space="preserve">Expediente permanente, matrícula anual, traslados, retiros, documentos</w:t>
            </w:r>
          </w:p>
        </w:tc>
        <w:tc>
          <w:tcPr>
            <w:tcW w:w="3713" w:type="dxa"/>
          </w:tcPr>
          <w:p>
            <w:pPr/>
            <w:r>
              <w:t xml:space="preserve">Expediente, admisión a programa, estatus (activo, prueba, suspendido, egresado)</w:t>
            </w:r>
          </w:p>
        </w:tc>
        <w:tc>
          <w:tcPr>
            <w:tcW w:w="1068" w:type="dxa"/>
          </w:tcPr>
          <w:p>
            <w:pPr/>
            <w:r>
              <w:t xml:space="preserve">1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8. Estructura académica</w:t>
            </w:r>
          </w:p>
        </w:tc>
        <w:tc>
          <w:tcPr>
            <w:tcW w:w="2877" w:type="dxa"/>
          </w:tcPr>
          <w:p>
            <w:pPr/>
            <w:r>
              <w:t xml:space="preserve">Año → nivel → grado → sección → materia</w:t>
            </w:r>
          </w:p>
        </w:tc>
        <w:tc>
          <w:tcPr>
            <w:tcW w:w="3713" w:type="dxa"/>
          </w:tcPr>
          <w:p>
            <w:pPr/>
            <w:r>
              <w:t xml:space="preserve">Facultad → escuela → carrera → pensum versionado → asignatura con créditos y prerrequisitos</w:t>
            </w:r>
          </w:p>
        </w:tc>
        <w:tc>
          <w:tcPr>
            <w:tcW w:w="1068" w:type="dxa"/>
          </w:tcPr>
          <w:p>
            <w:pPr/>
            <w:r>
              <w:t xml:space="preserve">1 / 2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9. Inscripción de asignaturas</w:t>
            </w:r>
          </w:p>
        </w:tc>
        <w:tc>
          <w:tcPr>
            <w:tcW w:w="2877" w:type="dxa"/>
          </w:tcPr>
          <w:p>
            <w:pPr/>
            <w:r>
              <w:t xml:space="preserve">No aplica (asignación por sección)</w:t>
            </w:r>
          </w:p>
        </w:tc>
        <w:tc>
          <w:tcPr>
            <w:tcW w:w="3713" w:type="dxa"/>
          </w:tcPr>
          <w:p>
            <w:pPr/>
            <w:r>
              <w:t xml:space="preserve">Selección en línea con cupos, choques de horario, prerrequisitos, retiros y adiciones</w:t>
            </w:r>
          </w:p>
        </w:tc>
        <w:tc>
          <w:tcPr>
            <w:tcW w:w="1068" w:type="dxa"/>
          </w:tcPr>
          <w:p>
            <w:pPr/>
            <w:r>
              <w:t xml:space="preserve">2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10. Horarios</w:t>
            </w:r>
          </w:p>
        </w:tc>
        <w:tc>
          <w:tcPr>
            <w:tcW w:w="2877" w:type="dxa"/>
          </w:tcPr>
          <w:p>
            <w:pPr/>
            <w:r>
              <w:t xml:space="preserve">Horario por sección y docente</w:t>
            </w:r>
          </w:p>
        </w:tc>
        <w:tc>
          <w:tcPr>
            <w:tcW w:w="3713" w:type="dxa"/>
          </w:tcPr>
          <w:p>
            <w:pPr/>
            <w:r>
              <w:t xml:space="preserve">Programación de oferta, aulas, choques, carga docente; motor de optimización</w:t>
            </w:r>
          </w:p>
        </w:tc>
        <w:tc>
          <w:tcPr>
            <w:tcW w:w="1068" w:type="dxa"/>
          </w:tcPr>
          <w:p>
            <w:pPr/>
            <w:r>
              <w:t xml:space="preserve">2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11. Asistencia</w:t>
            </w:r>
          </w:p>
        </w:tc>
        <w:tc>
          <w:tcPr>
            <w:tcW w:w="2877" w:type="dxa"/>
          </w:tcPr>
          <w:p>
            <w:pPr/>
            <w:r>
              <w:t xml:space="preserve">Diaria o por clase, tardanzas, justificaciones, alertas a familia</w:t>
            </w:r>
          </w:p>
        </w:tc>
        <w:tc>
          <w:tcPr>
            <w:tcW w:w="3713" w:type="dxa"/>
          </w:tcPr>
          <w:p>
            <w:pPr/>
            <w:r>
              <w:t xml:space="preserve">Por clase, límite de inasistencias por asignatura</w:t>
            </w:r>
          </w:p>
        </w:tc>
        <w:tc>
          <w:tcPr>
            <w:tcW w:w="1068" w:type="dxa"/>
          </w:tcPr>
          <w:p>
            <w:pPr/>
            <w:r>
              <w:t xml:space="preserve">1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12. Evaluación y calificaciones</w:t>
            </w:r>
          </w:p>
        </w:tc>
        <w:tc>
          <w:tcPr>
            <w:tcW w:w="2877" w:type="dxa"/>
          </w:tcPr>
          <w:p>
            <w:pPr/>
            <w:r>
              <w:t xml:space="preserve">Competencias, períodos P1–P4, recuperación, revisión y publicación por dirección</w:t>
            </w:r>
          </w:p>
        </w:tc>
        <w:tc>
          <w:tcPr>
            <w:tcW w:w="3713" w:type="dxa"/>
          </w:tcPr>
          <w:p>
            <w:pPr/>
            <w:r>
              <w:t xml:space="preserve">Escala numérica/literal, índice período y acumulado, reclamaciones, actas firmadas</w:t>
            </w:r>
          </w:p>
        </w:tc>
        <w:tc>
          <w:tcPr>
            <w:tcW w:w="1068" w:type="dxa"/>
          </w:tcPr>
          <w:p>
            <w:pPr/>
            <w:r>
              <w:t xml:space="preserve">1 / 2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13. Certificación y egreso</w:t>
            </w:r>
          </w:p>
        </w:tc>
        <w:tc>
          <w:tcPr>
            <w:tcW w:w="2877" w:type="dxa"/>
          </w:tcPr>
          <w:p>
            <w:pPr/>
            <w:r>
              <w:t xml:space="preserve">Boletines, certificados, promoción de grado</w:t>
            </w:r>
          </w:p>
        </w:tc>
        <w:tc>
          <w:tcPr>
            <w:tcW w:w="3713" w:type="dxa"/>
          </w:tcPr>
          <w:p>
            <w:pPr/>
            <w:r>
              <w:t xml:space="preserve">Récord de notas, auditoría de grado, títulos y credenciales digitales verificables (QR, Open Badges)</w:t>
            </w:r>
          </w:p>
        </w:tc>
        <w:tc>
          <w:tcPr>
            <w:tcW w:w="1068" w:type="dxa"/>
          </w:tcPr>
          <w:p>
            <w:pPr/>
            <w:r>
              <w:t xml:space="preserve">1 / 2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14. Aula virtual ligera</w:t>
            </w:r>
          </w:p>
        </w:tc>
        <w:tc>
          <w:tcPr>
            <w:tcW w:w="2877" w:type="dxa"/>
          </w:tcPr>
          <w:p>
            <w:pPr/>
            <w:r>
              <w:t xml:space="preserve">Tareas, recursos, entregas, rúbricas; o integración LTI con Moodle, Classroom, Teams</w:t>
            </w:r>
          </w:p>
        </w:tc>
        <w:tc>
          <w:tcPr>
            <w:tcW w:w="3713" w:type="dxa"/>
          </w:tcPr>
          <w:p>
            <w:pPr/>
            <w:r>
              <w:t xml:space="preserve">Igual, más foros y exámenes en línea</w:t>
            </w:r>
          </w:p>
        </w:tc>
        <w:tc>
          <w:tcPr>
            <w:tcW w:w="1068" w:type="dxa"/>
          </w:tcPr>
          <w:p>
            <w:pPr/>
            <w:r>
              <w:t xml:space="preserve">3</w:t>
            </w:r>
          </w:p>
        </w:tc>
      </w:tr>
    </w:tbl>
    <w:p>
      <w:pPr>
        <w:pStyle w:val="Heading3"/>
      </w:pPr>
      <w:r>
        <w:t xml:space="preserve">Capa 3 — Gestión y finanzas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3"/>
        <w:gridCol w:w="5090"/>
        <w:gridCol w:w="775"/>
      </w:tblGrid>
      <w:tr>
        <w:trPr>
          <w:tblHeader/>
        </w:trPr>
        <w:tc>
          <w:tcPr>
            <w:tcW w:w="3493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5090" w:type="dxa"/>
            <w:shd w:val="clear" w:color="auto" w:fill="F2F2F2"/>
          </w:tcPr>
          <w:p>
            <w:pPr/>
            <w:r>
              <w:t xml:space="preserve">Funciones principales</w:t>
            </w:r>
          </w:p>
        </w:tc>
        <w:tc>
          <w:tcPr>
            <w:tcW w:w="775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3493" w:type="dxa"/>
          </w:tcPr>
          <w:p>
            <w:pPr/>
            <w:r>
              <w:t xml:space="preserve">15. Finanzas estudiantiles</w:t>
            </w:r>
          </w:p>
        </w:tc>
        <w:tc>
          <w:tcPr>
            <w:tcW w:w="5090" w:type="dxa"/>
          </w:tcPr>
          <w:p>
            <w:pPr/>
            <w:r>
              <w:t xml:space="preserve">Plan de cargos, cuotas, becas, descuentos por hermanos, pagos parciales, recibos, caja y cierre diario, estados de cuenta</w:t>
            </w:r>
          </w:p>
        </w:tc>
        <w:tc>
          <w:tcPr>
            <w:tcW w:w="775" w:type="dxa"/>
          </w:tcPr>
          <w:p>
            <w:pPr/>
            <w:r>
              <w:t xml:space="preserve">1</w:t>
            </w:r>
          </w:p>
        </w:tc>
      </w:tr>
      <w:tr>
        <w:tc>
          <w:tcPr>
            <w:tcW w:w="3493" w:type="dxa"/>
          </w:tcPr>
          <w:p>
            <w:pPr/>
            <w:r>
              <w:t xml:space="preserve">16. Pagos y facturación fiscal</w:t>
            </w:r>
          </w:p>
        </w:tc>
        <w:tc>
          <w:tcPr>
            <w:tcW w:w="5090" w:type="dxa"/>
          </w:tcPr>
          <w:p>
            <w:pPr/>
            <w:r>
              <w:t xml:space="preserve">Pasarelas locales e internacionales, pago con enlace, conciliación bancaria, comprobantes fiscales electrónicos (e-CF) con un proveedor certificado ante la DGII, gestión de morosidad</w:t>
            </w:r>
          </w:p>
        </w:tc>
        <w:tc>
          <w:tcPr>
            <w:tcW w:w="775" w:type="dxa"/>
          </w:tcPr>
          <w:p>
            <w:pPr/>
            <w:r>
              <w:t xml:space="preserve">2</w:t>
            </w:r>
          </w:p>
        </w:tc>
      </w:tr>
    </w:tbl>
    <w:p>
      <w:pPr>
        <w:pStyle w:val="Heading3"/>
      </w:pPr>
      <w:r>
        <w:t xml:space="preserve">Capa 4 — Experiencia y conocimiento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1"/>
        <w:gridCol w:w="4920"/>
        <w:gridCol w:w="2099"/>
      </w:tblGrid>
      <w:tr>
        <w:trPr>
          <w:tblHeader/>
        </w:trPr>
        <w:tc>
          <w:tcPr>
            <w:tcW w:w="2341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Funciones principales</w:t>
            </w:r>
          </w:p>
        </w:tc>
        <w:tc>
          <w:tcPr>
            <w:tcW w:w="2099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17. Comunicaciones</w:t>
            </w:r>
          </w:p>
        </w:tc>
        <w:tc>
          <w:tcPr>
            <w:tcW w:w="4920" w:type="dxa"/>
          </w:tcPr>
          <w:p>
            <w:pPr/>
            <w:r>
              <w:t xml:space="preserve">Avisos, mensajería docente–familia moderada, circulares con acuse, WhatsApp/SMS/email/push, preferencias por responsable</w:t>
            </w:r>
          </w:p>
        </w:tc>
        <w:tc>
          <w:tcPr>
            <w:tcW w:w="2099" w:type="dxa"/>
          </w:tcPr>
          <w:p>
            <w:pPr/>
            <w:r>
              <w:t xml:space="preserve">1 portal / 2 canales externos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18. Analítica e IA</w:t>
            </w:r>
          </w:p>
        </w:tc>
        <w:tc>
          <w:tcPr>
            <w:tcW w:w="4920" w:type="dxa"/>
          </w:tcPr>
          <w:p>
            <w:pPr/>
            <w:r>
              <w:t xml:space="preserve">Tableros por rol, alerta temprana (asistencia + notas + pagos), reportes oficiales, asistente para redactar observaciones y responder dudas de familias con supervisión humana</w:t>
            </w:r>
          </w:p>
        </w:tc>
        <w:tc>
          <w:tcPr>
            <w:tcW w:w="2099" w:type="dxa"/>
          </w:tcPr>
          <w:p>
            <w:pPr/>
            <w:r>
              <w:t xml:space="preserve">2 / 3</w:t>
            </w:r>
          </w:p>
        </w:tc>
      </w:tr>
    </w:tbl>
    <w:p>
      <w:pPr/>
      <w:r>
        <w:t xml:space="preserve">Módulos de etapas posteriores, fuera de este alcance: transporte, biblioteca, inventario, enfermería, nómina y contabilidad general. Se ofrecen mejor por integración con software especializado que construyéndolos.</w:t>
      </w:r>
    </w:p>
    <w:p>
      <w:pPr>
        <w:pStyle w:val="Heading2"/>
      </w:pPr>
      <w:r>
        <w:t xml:space="preserve">Roles del SaaS</w:t>
      </w:r>
    </w:p>
    <w:p>
      <w:pPr/>
      <w:r>
        <w:t xml:space="preserve">El modelo de permisos combina </w:t>
      </w:r>
      <w:r>
        <w:rPr>
          <w:b/>
        </w:rPr>
        <w:t xml:space="preserve">RBAC</w:t>
      </w:r>
      <w:r>
        <w:t xml:space="preserve"> (qué puede hacer un rol) con </w:t>
      </w:r>
      <w:r>
        <w:rPr>
          <w:b/>
        </w:rPr>
        <w:t xml:space="preserve">ABAC</w:t>
      </w:r>
      <w:r>
        <w:t xml:space="preserve"> (sobre qué datos: su sede, sus secciones, sus hijos). Un docente con el permiso «registrar notas» solo lo ejerce en las materias que tiene asignadas en el período vigente. Los roles son plantillas; cada centro puede clonarlos y ajustarlos, pero no puede crear permisos que su plan no incluya.</w:t>
      </w:r>
    </w:p>
    <w:p>
      <w:pPr>
        <w:pStyle w:val="Heading3"/>
      </w:pPr>
      <w:r>
        <w:t xml:space="preserve">Roles de plataforma (KNOROOMS)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1701"/>
        <w:gridCol w:w="3070"/>
        <w:gridCol w:w="2326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Alcance</w:t>
            </w:r>
          </w:p>
        </w:tc>
        <w:tc>
          <w:tcPr>
            <w:tcW w:w="3070" w:type="dxa"/>
            <w:shd w:val="clear" w:color="auto" w:fill="F2F2F2"/>
          </w:tcPr>
          <w:p>
            <w:pPr/>
            <w:r>
              <w:t xml:space="preserve">Puede</w:t>
            </w:r>
          </w:p>
        </w:tc>
        <w:tc>
          <w:tcPr>
            <w:tcW w:w="2326" w:type="dxa"/>
            <w:shd w:val="clear" w:color="auto" w:fill="F2F2F2"/>
          </w:tcPr>
          <w:p>
            <w:pPr/>
            <w:r>
              <w:t xml:space="preserve">No puede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Superadministrador</w:t>
            </w:r>
          </w:p>
        </w:tc>
        <w:tc>
          <w:tcPr>
            <w:tcW w:w="1701" w:type="dxa"/>
          </w:tcPr>
          <w:p>
            <w:pPr/>
            <w:r>
              <w:t xml:space="preserve">Todos los tenants</w:t>
            </w:r>
          </w:p>
        </w:tc>
        <w:tc>
          <w:tcPr>
            <w:tcW w:w="3070" w:type="dxa"/>
          </w:tcPr>
          <w:p>
            <w:pPr/>
            <w:r>
              <w:t xml:space="preserve">Crear centros, planes, entitlements, ver métricas agregadas</w:t>
            </w:r>
          </w:p>
        </w:tc>
        <w:tc>
          <w:tcPr>
            <w:tcW w:w="2326" w:type="dxa"/>
          </w:tcPr>
          <w:p>
            <w:pPr/>
            <w:r>
              <w:t xml:space="preserve">Ver datos de estudiantes sin una sesión de soporte autorizada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Soporte KNOROOMS</w:t>
            </w:r>
          </w:p>
        </w:tc>
        <w:tc>
          <w:tcPr>
            <w:tcW w:w="1701" w:type="dxa"/>
          </w:tcPr>
          <w:p>
            <w:pPr/>
            <w:r>
              <w:t xml:space="preserve">Un tenant, por ticket</w:t>
            </w:r>
          </w:p>
        </w:tc>
        <w:tc>
          <w:tcPr>
            <w:tcW w:w="3070" w:type="dxa"/>
          </w:tcPr>
          <w:p>
            <w:pPr/>
            <w:r>
              <w:t xml:space="preserve">Acceso temporal (ej. 4 h) con motivo, aprobado por el centro, todo grabado en bitácora</w:t>
            </w:r>
          </w:p>
        </w:tc>
        <w:tc>
          <w:tcPr>
            <w:tcW w:w="2326" w:type="dxa"/>
          </w:tcPr>
          <w:p>
            <w:pPr/>
            <w:r>
              <w:t xml:space="preserve">Modificar notas publicadas o pagos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Implementador</w:t>
            </w:r>
          </w:p>
        </w:tc>
        <w:tc>
          <w:tcPr>
            <w:tcW w:w="1701" w:type="dxa"/>
          </w:tcPr>
          <w:p>
            <w:pPr/>
            <w:r>
              <w:t xml:space="preserve">Tenants en alta</w:t>
            </w:r>
          </w:p>
        </w:tc>
        <w:tc>
          <w:tcPr>
            <w:tcW w:w="3070" w:type="dxa"/>
          </w:tcPr>
          <w:p>
            <w:pPr/>
            <w:r>
              <w:t xml:space="preserve">Configurar, importar datos, capacitar</w:t>
            </w:r>
          </w:p>
        </w:tc>
        <w:tc>
          <w:tcPr>
            <w:tcW w:w="2326" w:type="dxa"/>
          </w:tcPr>
          <w:p>
            <w:pPr/>
            <w:r>
              <w:t xml:space="preserve">Operar después de la entrega formal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Finanzas KNOROOMS</w:t>
            </w:r>
          </w:p>
        </w:tc>
        <w:tc>
          <w:tcPr>
            <w:tcW w:w="1701" w:type="dxa"/>
          </w:tcPr>
          <w:p>
            <w:pPr/>
            <w:r>
              <w:t xml:space="preserve">Suscripciones</w:t>
            </w:r>
          </w:p>
        </w:tc>
        <w:tc>
          <w:tcPr>
            <w:tcW w:w="3070" w:type="dxa"/>
          </w:tcPr>
          <w:p>
            <w:pPr/>
            <w:r>
              <w:t xml:space="preserve">Facturar al centro, gestionar mora del contrato</w:t>
            </w:r>
          </w:p>
        </w:tc>
        <w:tc>
          <w:tcPr>
            <w:tcW w:w="2326" w:type="dxa"/>
          </w:tcPr>
          <w:p>
            <w:pPr/>
            <w:r>
              <w:t xml:space="preserve">Ver finanzas internas del centro</w:t>
            </w:r>
          </w:p>
        </w:tc>
      </w:tr>
    </w:tbl>
    <w:p>
      <w:pPr>
        <w:pStyle w:val="Heading3"/>
      </w:pPr>
      <w:r>
        <w:t xml:space="preserve">Roles del centro — comunes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7"/>
        <w:gridCol w:w="1835"/>
        <w:gridCol w:w="4478"/>
      </w:tblGrid>
      <w:tr>
        <w:trPr>
          <w:tblHeader/>
        </w:trPr>
        <w:tc>
          <w:tcPr>
            <w:tcW w:w="3047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835" w:type="dxa"/>
            <w:shd w:val="clear" w:color="auto" w:fill="F2F2F2"/>
          </w:tcPr>
          <w:p>
            <w:pPr/>
            <w:r>
              <w:t xml:space="preserve">Alcance (ABAC)</w:t>
            </w:r>
          </w:p>
        </w:tc>
        <w:tc>
          <w:tcPr>
            <w:tcW w:w="4478" w:type="dxa"/>
            <w:shd w:val="clear" w:color="auto" w:fill="F2F2F2"/>
          </w:tcPr>
          <w:p>
            <w:pPr/>
            <w:r>
              <w:t xml:space="preserve">Funciones principales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Administrador del centro</w:t>
            </w:r>
          </w:p>
        </w:tc>
        <w:tc>
          <w:tcPr>
            <w:tcW w:w="1835" w:type="dxa"/>
          </w:tcPr>
          <w:p>
            <w:pPr/>
            <w:r>
              <w:t xml:space="preserve">Todo el tenant</w:t>
            </w:r>
          </w:p>
        </w:tc>
        <w:tc>
          <w:tcPr>
            <w:tcW w:w="4478" w:type="dxa"/>
          </w:tcPr>
          <w:p>
            <w:pPr/>
            <w:r>
              <w:t xml:space="preserve">Configuración, usuarios, roles, módulos, aprobación de soporte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Dirección / Rectoría</w:t>
            </w:r>
          </w:p>
        </w:tc>
        <w:tc>
          <w:tcPr>
            <w:tcW w:w="1835" w:type="dxa"/>
          </w:tcPr>
          <w:p>
            <w:pPr/>
            <w:r>
              <w:t xml:space="preserve">Todo el tenant o su sede</w:t>
            </w:r>
          </w:p>
        </w:tc>
        <w:tc>
          <w:tcPr>
            <w:tcW w:w="4478" w:type="dxa"/>
          </w:tcPr>
          <w:p>
            <w:pPr/>
            <w:r>
              <w:t xml:space="preserve">Aprueba cierres y publicación de calificaciones, tableros ejecutivos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Secretaría / Registro</w:t>
            </w:r>
          </w:p>
        </w:tc>
        <w:tc>
          <w:tcPr>
            <w:tcW w:w="1835" w:type="dxa"/>
          </w:tcPr>
          <w:p>
            <w:pPr/>
            <w:r>
              <w:t xml:space="preserve">Sede</w:t>
            </w:r>
          </w:p>
        </w:tc>
        <w:tc>
          <w:tcPr>
            <w:tcW w:w="4478" w:type="dxa"/>
          </w:tcPr>
          <w:p>
            <w:pPr/>
            <w:r>
              <w:t xml:space="preserve">Matrícula, expedientes, documentos, certificados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Admisiones</w:t>
            </w:r>
          </w:p>
        </w:tc>
        <w:tc>
          <w:tcPr>
            <w:tcW w:w="1835" w:type="dxa"/>
          </w:tcPr>
          <w:p>
            <w:pPr/>
            <w:r>
              <w:t xml:space="preserve">Sede o carrera</w:t>
            </w:r>
          </w:p>
        </w:tc>
        <w:tc>
          <w:tcPr>
            <w:tcW w:w="4478" w:type="dxa"/>
          </w:tcPr>
          <w:p>
            <w:pPr/>
            <w:r>
              <w:t xml:space="preserve">Prospectos, solicitudes, entrevistas, conversión a matrícula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Caja</w:t>
            </w:r>
          </w:p>
        </w:tc>
        <w:tc>
          <w:tcPr>
            <w:tcW w:w="1835" w:type="dxa"/>
          </w:tcPr>
          <w:p>
            <w:pPr/>
            <w:r>
              <w:t xml:space="preserve">Sede, turno</w:t>
            </w:r>
          </w:p>
        </w:tc>
        <w:tc>
          <w:tcPr>
            <w:tcW w:w="4478" w:type="dxa"/>
          </w:tcPr>
          <w:p>
            <w:pPr/>
            <w:r>
              <w:t xml:space="preserve">Cobros, recibos, cierre diario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Finanzas / Contabilidad</w:t>
            </w:r>
          </w:p>
        </w:tc>
        <w:tc>
          <w:tcPr>
            <w:tcW w:w="1835" w:type="dxa"/>
          </w:tcPr>
          <w:p>
            <w:pPr/>
            <w:r>
              <w:t xml:space="preserve">Tenant</w:t>
            </w:r>
          </w:p>
        </w:tc>
        <w:tc>
          <w:tcPr>
            <w:tcW w:w="4478" w:type="dxa"/>
          </w:tcPr>
          <w:p>
            <w:pPr/>
            <w:r>
              <w:t xml:space="preserve">Plan de cargos, becas, conciliación, facturación fiscal, reportes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Orientación / Psicología</w:t>
            </w:r>
          </w:p>
        </w:tc>
        <w:tc>
          <w:tcPr>
            <w:tcW w:w="1835" w:type="dxa"/>
          </w:tcPr>
          <w:p>
            <w:pPr/>
            <w:r>
              <w:t xml:space="preserve">Estudiantes asignados</w:t>
            </w:r>
          </w:p>
        </w:tc>
        <w:tc>
          <w:tcPr>
            <w:tcW w:w="4478" w:type="dxa"/>
          </w:tcPr>
          <w:p>
            <w:pPr/>
            <w:r>
              <w:t xml:space="preserve">Registros confidenciales con permiso propio; invisibles para otros roles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Docente</w:t>
            </w:r>
          </w:p>
        </w:tc>
        <w:tc>
          <w:tcPr>
            <w:tcW w:w="1835" w:type="dxa"/>
          </w:tcPr>
          <w:p>
            <w:pPr/>
            <w:r>
              <w:t xml:space="preserve">Sus secciones y materias del período</w:t>
            </w:r>
          </w:p>
        </w:tc>
        <w:tc>
          <w:tcPr>
            <w:tcW w:w="4478" w:type="dxa"/>
          </w:tcPr>
          <w:p>
            <w:pPr/>
            <w:r>
              <w:t xml:space="preserve">Asistencia, evaluaciones, observaciones, recursos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Responsable / Tutor legal</w:t>
            </w:r>
          </w:p>
        </w:tc>
        <w:tc>
          <w:tcPr>
            <w:tcW w:w="1835" w:type="dxa"/>
          </w:tcPr>
          <w:p>
            <w:pPr/>
            <w:r>
              <w:t xml:space="preserve">Sus estudiantes vinculados, por tipo de vínculo</w:t>
            </w:r>
          </w:p>
        </w:tc>
        <w:tc>
          <w:tcPr>
            <w:tcW w:w="4478" w:type="dxa"/>
          </w:tcPr>
          <w:p>
            <w:pPr/>
            <w:r>
              <w:t xml:space="preserve">Consultar notas, asistencia, pagos, autorizar recogida y consentimientos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Estudiante</w:t>
            </w:r>
          </w:p>
        </w:tc>
        <w:tc>
          <w:tcPr>
            <w:tcW w:w="1835" w:type="dxa"/>
          </w:tcPr>
          <w:p>
            <w:pPr/>
            <w:r>
              <w:t xml:space="preserve">Su propio expediente</w:t>
            </w:r>
          </w:p>
        </w:tc>
        <w:tc>
          <w:tcPr>
            <w:tcW w:w="4478" w:type="dxa"/>
          </w:tcPr>
          <w:p>
            <w:pPr/>
            <w:r>
              <w:t xml:space="preserve">Consultar notas, horario, tareas; en superior, inscribir asignaturas y pagar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Auditor externo / Inspector</w:t>
            </w:r>
          </w:p>
        </w:tc>
        <w:tc>
          <w:tcPr>
            <w:tcW w:w="1835" w:type="dxa"/>
          </w:tcPr>
          <w:p>
            <w:pPr/>
            <w:r>
              <w:t xml:space="preserve">Solo lectura, rango definido</w:t>
            </w:r>
          </w:p>
        </w:tc>
        <w:tc>
          <w:tcPr>
            <w:tcW w:w="4478" w:type="dxa"/>
          </w:tcPr>
          <w:p>
            <w:pPr/>
            <w:r>
              <w:t xml:space="preserve">Revisar registros y actas sin editar</w:t>
            </w:r>
          </w:p>
        </w:tc>
      </w:tr>
    </w:tbl>
    <w:p>
      <w:pPr>
        <w:pStyle w:val="Heading3"/>
      </w:pPr>
      <w:r>
        <w:t xml:space="preserve">Roles adicionales — colegio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Funciones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Coordinación académica (por nivel o ciclo)</w:t>
            </w:r>
          </w:p>
        </w:tc>
        <w:tc>
          <w:tcPr>
            <w:tcW w:w="4920" w:type="dxa"/>
          </w:tcPr>
          <w:p>
            <w:pPr/>
            <w:r>
              <w:t xml:space="preserve">Revisa notas pendientes, organiza grupos, valida recuperaciones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Docente guía / titular</w:t>
            </w:r>
          </w:p>
        </w:tc>
        <w:tc>
          <w:tcPr>
            <w:tcW w:w="4920" w:type="dxa"/>
          </w:tcPr>
          <w:p>
            <w:pPr/>
            <w:r>
              <w:t xml:space="preserve">Ve todas las materias de su sección, redacta observaciones generales del boletín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Disciplina / Convivencia</w:t>
            </w:r>
          </w:p>
        </w:tc>
        <w:tc>
          <w:tcPr>
            <w:tcW w:w="4920" w:type="dxa"/>
          </w:tcPr>
          <w:p>
            <w:pPr/>
            <w:r>
              <w:t xml:space="preserve">Incidencias, sanciones y seguimiento, con notificación a responsables</w:t>
            </w:r>
          </w:p>
        </w:tc>
      </w:tr>
    </w:tbl>
    <w:p>
      <w:pPr>
        <w:pStyle w:val="Heading3"/>
      </w:pPr>
      <w:r>
        <w:t xml:space="preserve">Roles adicionales — universidad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46"/>
        <w:gridCol w:w="5613"/>
      </w:tblGrid>
      <w:tr>
        <w:trPr>
          <w:tblHeader/>
        </w:trPr>
        <w:tc>
          <w:tcPr>
            <w:tcW w:w="3746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5613" w:type="dxa"/>
            <w:shd w:val="clear" w:color="auto" w:fill="F2F2F2"/>
          </w:tcPr>
          <w:p>
            <w:pPr/>
            <w:r>
              <w:t xml:space="preserve">Funciones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Decano / Director de escuela</w:t>
            </w:r>
          </w:p>
        </w:tc>
        <w:tc>
          <w:tcPr>
            <w:tcW w:w="5613" w:type="dxa"/>
          </w:tcPr>
          <w:p>
            <w:pPr/>
            <w:r>
              <w:t xml:space="preserve">Aprueba oferta académica, carga docente y actas de su facultad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Coordinador de carrera</w:t>
            </w:r>
          </w:p>
        </w:tc>
        <w:tc>
          <w:tcPr>
            <w:tcW w:w="5613" w:type="dxa"/>
          </w:tcPr>
          <w:p>
            <w:pPr/>
            <w:r>
              <w:t xml:space="preserve">Gestiona pensum, convalidaciones, excepciones de prerrequisito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Asesor académico</w:t>
            </w:r>
          </w:p>
        </w:tc>
        <w:tc>
          <w:tcPr>
            <w:tcW w:w="5613" w:type="dxa"/>
          </w:tcPr>
          <w:p>
            <w:pPr/>
            <w:r>
              <w:t xml:space="preserve">Aprueba la selección de asignaturas de sus estudiantes asignados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Registro académico</w:t>
            </w:r>
          </w:p>
        </w:tc>
        <w:tc>
          <w:tcPr>
            <w:tcW w:w="5613" w:type="dxa"/>
          </w:tcPr>
          <w:p>
            <w:pPr/>
            <w:r>
              <w:t xml:space="preserve">Cierra actas, emite récord y títulos, gestiona egreso y reportes a MESCyT</w:t>
            </w:r>
          </w:p>
        </w:tc>
      </w:tr>
      <w:tr>
        <w:tc>
          <w:tcPr>
            <w:tcW w:w="3746" w:type="dxa"/>
          </w:tcPr>
          <w:p>
            <w:pPr/>
            <w:r>
              <w:t xml:space="preserve">Bienestar estudiantil</w:t>
            </w:r>
          </w:p>
        </w:tc>
        <w:tc>
          <w:tcPr>
            <w:tcW w:w="5613" w:type="dxa"/>
          </w:tcPr>
          <w:p>
            <w:pPr/>
            <w:r>
              <w:t xml:space="preserve">Becas, crédito educativo, servicios de apoyo</w:t>
            </w:r>
          </w:p>
        </w:tc>
      </w:tr>
    </w:tbl>
    <w:p>
      <w:pPr>
        <w:pStyle w:val="Heading3"/>
      </w:pPr>
      <w:r>
        <w:t xml:space="preserve">Reglas de permisos que no se negocian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Separación de funciones:</w:t>
      </w:r>
      <w:r>
        <w:t xml:space="preserve"> quien registra una nota no la publica; quien registra un pago no lo anula sin aprobación.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Mínimo privilegio y vigencia:</w:t>
      </w:r>
      <w:r>
        <w:t xml:space="preserve"> los accesos ligados a un período vencen al cerrarlo; las asignaciones docentes no se heredan entre años.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Vínculo granular de responsables:</w:t>
      </w:r>
      <w:r>
        <w:t xml:space="preserve"> académico, pago, recogida y emergencia son permisos separados; un padre sin custodia puede no ver datos según orden legal registrada.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Mayoría de edad:</w:t>
      </w:r>
      <w:r>
        <w:t xml:space="preserve"> al cumplir 18 años el estudiante decide qué ven sus responsables, especialmente en universidad.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Suplantación visible:</w:t>
      </w:r>
      <w:r>
        <w:t xml:space="preserve"> el soporte que «entra como» un usuario lo hace con banner visible y registro de cada acción.</w:t>
      </w:r>
    </w:p>
    <w:p>
      <w:pPr>
        <w:pStyle w:val="Heading2"/>
      </w:pPr>
      <w:r>
        <w:t xml:space="preserve">Modelo de integración de datos</w:t>
      </w:r>
    </w:p>
    <w:p>
      <w:pPr/>
      <w:r>
        <w:t xml:space="preserve">KNOROOMS Edu es la </w:t>
      </w:r>
      <w:r>
        <w:rPr>
          <w:b/>
        </w:rPr>
        <w:t xml:space="preserve">fuente de verdad</w:t>
      </w:r>
      <w:r>
        <w:t xml:space="preserve"> de personas, matrículas, calificaciones y cuentas del estudiante; todo sistema externo se conecta por un hub de integración con contratos estándar, nunca leyendo la base de datos directamente.</w:t>
      </w:r>
    </w:p>
    <w:p>
      <w:pPr>
        <w:pStyle w:val="Heading3"/>
      </w:pPr>
      <w:r>
        <w:t xml:space="preserve">Modelo de datos canónico</w:t>
      </w:r>
    </w:p>
    <w:p>
      <w:pPr/>
      <w:r>
        <w:t xml:space="preserve">Las entidades se agrupan en cinco dominios. Cada registro lleva </w:t>
      </w:r>
      <w:r>
        <w:rPr>
          <w:rStyle w:val="CodeChar"/>
        </w:rPr>
        <w:t xml:space="preserve">tenant_id</w:t>
      </w:r>
      <w:r>
        <w:t xml:space="preserve">, identificador UUID estable, </w:t>
      </w:r>
      <w:r>
        <w:rPr>
          <w:rStyle w:val="CodeChar"/>
        </w:rPr>
        <w:t xml:space="preserve">sourced_id</w:t>
      </w:r>
      <w:r>
        <w:t xml:space="preserve"> externo cuando aplica, fechas de vigencia y versión.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5"/>
        <w:gridCol w:w="4197"/>
        <w:gridCol w:w="3568"/>
      </w:tblGrid>
      <w:tr>
        <w:trPr>
          <w:tblHeader/>
        </w:trPr>
        <w:tc>
          <w:tcPr>
            <w:tcW w:w="1595" w:type="dxa"/>
            <w:shd w:val="clear" w:color="auto" w:fill="F2F2F2"/>
          </w:tcPr>
          <w:p>
            <w:pPr/>
            <w:r>
              <w:t xml:space="preserve">Dominio</w:t>
            </w:r>
          </w:p>
        </w:tc>
        <w:tc>
          <w:tcPr>
            <w:tcW w:w="4197" w:type="dxa"/>
            <w:shd w:val="clear" w:color="auto" w:fill="F2F2F2"/>
          </w:tcPr>
          <w:p>
            <w:pPr/>
            <w:r>
              <w:t xml:space="preserve">Entidades principales</w:t>
            </w:r>
          </w:p>
        </w:tc>
        <w:tc>
          <w:tcPr>
            <w:tcW w:w="3568" w:type="dxa"/>
            <w:shd w:val="clear" w:color="auto" w:fill="F2F2F2"/>
          </w:tcPr>
          <w:p>
            <w:pPr/>
            <w:r>
              <w:t xml:space="preserve">Regla clave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Organización</w:t>
            </w:r>
          </w:p>
        </w:tc>
        <w:tc>
          <w:tcPr>
            <w:tcW w:w="4197" w:type="dxa"/>
          </w:tcPr>
          <w:p>
            <w:pPr/>
            <w:r>
              <w:t xml:space="preserve">Tenant, Sede, Unidad (nivel, facultad, escuela), Período académico</w:t>
            </w:r>
          </w:p>
        </w:tc>
        <w:tc>
          <w:tcPr>
            <w:tcW w:w="3568" w:type="dxa"/>
          </w:tcPr>
          <w:p>
            <w:pPr/>
            <w:r>
              <w:t xml:space="preserve">Períodos anidados: año → período de evaluación, o año → cuatrimestre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Personas</w:t>
            </w:r>
          </w:p>
        </w:tc>
        <w:tc>
          <w:tcPr>
            <w:tcW w:w="4197" w:type="dxa"/>
          </w:tcPr>
          <w:p>
            <w:pPr/>
            <w:r>
              <w:t xml:space="preserve">Persona, Usuario, Estudiante, Empleado, Responsable, Vínculo (tipo, permisos, custodia)</w:t>
            </w:r>
          </w:p>
        </w:tc>
        <w:tc>
          <w:tcPr>
            <w:tcW w:w="3568" w:type="dxa"/>
          </w:tcPr>
          <w:p>
            <w:pPr/>
            <w:r>
              <w:t xml:space="preserve">Una persona puede tener varios roles; la identidad (cédula, NUI, pasaporte) se valida y se cifra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Académico</w:t>
            </w:r>
          </w:p>
        </w:tc>
        <w:tc>
          <w:tcPr>
            <w:tcW w:w="4197" w:type="dxa"/>
          </w:tcPr>
          <w:p>
            <w:pPr/>
            <w:r>
              <w:t xml:space="preserve">Programa/Grado, Pensum (versión), Curso, Sección/Clase, Inscripción, Horario</w:t>
            </w:r>
          </w:p>
        </w:tc>
        <w:tc>
          <w:tcPr>
            <w:tcW w:w="3568" w:type="dxa"/>
          </w:tcPr>
          <w:p>
            <w:pPr/>
            <w:r>
              <w:t xml:space="preserve">La matrícula es por período; el expediente es permanente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Evaluación</w:t>
            </w:r>
          </w:p>
        </w:tc>
        <w:tc>
          <w:tcPr>
            <w:tcW w:w="4197" w:type="dxa"/>
          </w:tcPr>
          <w:p>
            <w:pPr/>
            <w:r>
              <w:t xml:space="preserve">Plantilla de evaluación (versión), Componente, Calificación, Resultado calculado, Acta, Reclamación</w:t>
            </w:r>
          </w:p>
        </w:tc>
        <w:tc>
          <w:tcPr>
            <w:tcW w:w="3568" w:type="dxa"/>
          </w:tcPr>
          <w:p>
            <w:pPr/>
            <w:r>
              <w:t xml:space="preserve">Toda nota guarda quién, cuándo, con qué regla y qué versión</w:t>
            </w:r>
          </w:p>
        </w:tc>
      </w:tr>
      <w:tr>
        <w:tc>
          <w:tcPr>
            <w:tcW w:w="1595" w:type="dxa"/>
          </w:tcPr>
          <w:p>
            <w:pPr/>
            <w:r>
              <w:t xml:space="preserve">Finanzas</w:t>
            </w:r>
          </w:p>
        </w:tc>
        <w:tc>
          <w:tcPr>
            <w:tcW w:w="4197" w:type="dxa"/>
          </w:tcPr>
          <w:p>
            <w:pPr/>
            <w:r>
              <w:t xml:space="preserve">Plan de cargos, Cargo, Beca/Descuento, Pago, Aplicación de pago, Comprobante fiscal</w:t>
            </w:r>
          </w:p>
        </w:tc>
        <w:tc>
          <w:tcPr>
            <w:tcW w:w="3568" w:type="dxa"/>
          </w:tcPr>
          <w:p>
            <w:pPr/>
            <w:r>
              <w:t xml:space="preserve">Libro de movimientos inmutable: se corrige con contra-asientos, nunca editando</w:t>
            </w:r>
          </w:p>
        </w:tc>
      </w:tr>
    </w:tbl>
    <w:p>
      <w:pPr>
        <w:pStyle w:val="Heading3"/>
      </w:pPr>
      <w:r>
        <w:t xml:space="preserve">Patrones de integración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7"/>
        <w:gridCol w:w="2277"/>
        <w:gridCol w:w="4456"/>
      </w:tblGrid>
      <w:tr>
        <w:trPr>
          <w:tblHeader/>
        </w:trPr>
        <w:tc>
          <w:tcPr>
            <w:tcW w:w="2627" w:type="dxa"/>
            <w:shd w:val="clear" w:color="auto" w:fill="F2F2F2"/>
          </w:tcPr>
          <w:p>
            <w:pPr/>
            <w:r>
              <w:t xml:space="preserve">Patrón</w:t>
            </w:r>
          </w:p>
        </w:tc>
        <w:tc>
          <w:tcPr>
            <w:tcW w:w="2277" w:type="dxa"/>
            <w:shd w:val="clear" w:color="auto" w:fill="F2F2F2"/>
          </w:tcPr>
          <w:p>
            <w:pPr/>
            <w:r>
              <w:t xml:space="preserve">Cuándo se usa</w:t>
            </w:r>
          </w:p>
        </w:tc>
        <w:tc>
          <w:tcPr>
            <w:tcW w:w="4456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API REST pública (OpenAPI 3.1, OAuth 2.0 client credentials)</w:t>
            </w:r>
          </w:p>
        </w:tc>
        <w:tc>
          <w:tcPr>
            <w:tcW w:w="2277" w:type="dxa"/>
          </w:tcPr>
          <w:p>
            <w:pPr/>
            <w:r>
              <w:t xml:space="preserve">Consultas y escrituras de terceros</w:t>
            </w:r>
          </w:p>
        </w:tc>
        <w:tc>
          <w:tcPr>
            <w:tcW w:w="4456" w:type="dxa"/>
          </w:tcPr>
          <w:p>
            <w:pPr/>
            <w:r>
              <w:t xml:space="preserve">Una app del centro lee el horario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Webhooks firmados (HMAC) con reintentos</w:t>
            </w:r>
          </w:p>
        </w:tc>
        <w:tc>
          <w:tcPr>
            <w:tcW w:w="2277" w:type="dxa"/>
          </w:tcPr>
          <w:p>
            <w:pPr/>
            <w:r>
              <w:t xml:space="preserve">Avisar cambios en tiempo casi real</w:t>
            </w:r>
          </w:p>
        </w:tc>
        <w:tc>
          <w:tcPr>
            <w:tcW w:w="4456" w:type="dxa"/>
          </w:tcPr>
          <w:p>
            <w:pPr/>
            <w:r>
              <w:rPr>
                <w:rStyle w:val="CodeChar"/>
              </w:rPr>
              <w:t xml:space="preserve">pago.aplicado</w:t>
            </w:r>
            <w:r>
              <w:t xml:space="preserve"> → GHL mueve el lead a «inscrito»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Estándares educativos</w:t>
            </w:r>
          </w:p>
        </w:tc>
        <w:tc>
          <w:tcPr>
            <w:tcW w:w="2277" w:type="dxa"/>
          </w:tcPr>
          <w:p>
            <w:pPr/>
            <w:r>
              <w:t xml:space="preserve">Sincronizar con plataformas de aprendizaje</w:t>
            </w:r>
          </w:p>
        </w:tc>
        <w:tc>
          <w:tcPr>
            <w:tcW w:w="4456" w:type="dxa"/>
          </w:tcPr>
          <w:p>
            <w:pPr/>
            <w:r>
              <w:t xml:space="preserve">OneRoster 1.2 para clases y notas; LTI 1.3 para lanzar Moodle o Classroom sin segundo login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SCIM 2.0 y SSO (SAML/OIDC)</w:t>
            </w:r>
          </w:p>
        </w:tc>
        <w:tc>
          <w:tcPr>
            <w:tcW w:w="2277" w:type="dxa"/>
          </w:tcPr>
          <w:p>
            <w:pPr/>
            <w:r>
              <w:t xml:space="preserve">Aprovisionar cuentas</w:t>
            </w:r>
          </w:p>
        </w:tc>
        <w:tc>
          <w:tcPr>
            <w:tcW w:w="4456" w:type="dxa"/>
          </w:tcPr>
          <w:p>
            <w:pPr/>
            <w:r>
              <w:t xml:space="preserve">Crear correos institucionales en Google Workspace o Microsoft 365 al matricular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Importación por lotes (CSV/Excel con plantilla)</w:t>
            </w:r>
          </w:p>
        </w:tc>
        <w:tc>
          <w:tcPr>
            <w:tcW w:w="2277" w:type="dxa"/>
          </w:tcPr>
          <w:p>
            <w:pPr/>
            <w:r>
              <w:t xml:space="preserve">Migraciones y cargas oficiales</w:t>
            </w:r>
          </w:p>
        </w:tc>
        <w:tc>
          <w:tcPr>
            <w:tcW w:w="4456" w:type="dxa"/>
          </w:tcPr>
          <w:p>
            <w:pPr/>
            <w:r>
              <w:t xml:space="preserve">Alta de un colegio desde su sistema anterior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Exportaciones regulatorias</w:t>
            </w:r>
          </w:p>
        </w:tc>
        <w:tc>
          <w:tcPr>
            <w:tcW w:w="2277" w:type="dxa"/>
          </w:tcPr>
          <w:p>
            <w:pPr/>
            <w:r>
              <w:t xml:space="preserve">Reportes que el ente exige</w:t>
            </w:r>
          </w:p>
        </w:tc>
        <w:tc>
          <w:tcPr>
            <w:tcW w:w="4456" w:type="dxa"/>
          </w:tcPr>
          <w:p>
            <w:pPr/>
            <w:r>
              <w:t xml:space="preserve">Archivos para SIGERD (MINERD) y estadísticas para MESCyT, en el formato que publique cada ente</w:t>
            </w:r>
          </w:p>
        </w:tc>
      </w:tr>
      <w:tr>
        <w:tc>
          <w:tcPr>
            <w:tcW w:w="2627" w:type="dxa"/>
          </w:tcPr>
          <w:p>
            <w:pPr/>
            <w:r>
              <w:t xml:space="preserve">Credenciales verificables</w:t>
            </w:r>
          </w:p>
        </w:tc>
        <w:tc>
          <w:tcPr>
            <w:tcW w:w="2277" w:type="dxa"/>
          </w:tcPr>
          <w:p>
            <w:pPr/>
            <w:r>
              <w:t xml:space="preserve">Títulos y certificados</w:t>
            </w:r>
          </w:p>
        </w:tc>
        <w:tc>
          <w:tcPr>
            <w:tcW w:w="4456" w:type="dxa"/>
          </w:tcPr>
          <w:p>
            <w:pPr/>
            <w:r>
              <w:t xml:space="preserve">Open Badges 3.0 / CLR con QR de verificación pública</w:t>
            </w:r>
          </w:p>
        </w:tc>
      </w:tr>
    </w:tbl>
    <w:p>
      <w:pPr>
        <w:pStyle w:val="Heading3"/>
      </w:pPr>
      <w:r>
        <w:t xml:space="preserve">Integraciones priorizadas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5"/>
        <w:gridCol w:w="1859"/>
        <w:gridCol w:w="4236"/>
        <w:gridCol w:w="750"/>
      </w:tblGrid>
      <w:tr>
        <w:trPr>
          <w:tblHeader/>
        </w:trPr>
        <w:tc>
          <w:tcPr>
            <w:tcW w:w="2515" w:type="dxa"/>
            <w:shd w:val="clear" w:color="auto" w:fill="F2F2F2"/>
          </w:tcPr>
          <w:p>
            <w:pPr/>
            <w:r>
              <w:t xml:space="preserve">Sistema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Dirección</w:t>
            </w:r>
          </w:p>
        </w:tc>
        <w:tc>
          <w:tcPr>
            <w:tcW w:w="4236" w:type="dxa"/>
            <w:shd w:val="clear" w:color="auto" w:fill="F2F2F2"/>
          </w:tcPr>
          <w:p>
            <w:pPr/>
            <w:r>
              <w:t xml:space="preserve">Datos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Fase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GoHighLevel (Knorooms)</w:t>
            </w:r>
          </w:p>
        </w:tc>
        <w:tc>
          <w:tcPr>
            <w:tcW w:w="1859" w:type="dxa"/>
          </w:tcPr>
          <w:p>
            <w:pPr/>
            <w:r>
              <w:t xml:space="preserve">Bidireccional</w:t>
            </w:r>
          </w:p>
        </w:tc>
        <w:tc>
          <w:tcPr>
            <w:tcW w:w="4236" w:type="dxa"/>
          </w:tcPr>
          <w:p>
            <w:pPr/>
            <w:r>
              <w:t xml:space="preserve">Prospectos, etapas del embudo de admisión, campañas a familias, citas</w:t>
            </w:r>
          </w:p>
        </w:tc>
        <w:tc>
          <w:tcPr>
            <w:tcW w:w="750" w:type="dxa"/>
          </w:tcPr>
          <w:p>
            <w:pPr/>
            <w:r>
              <w:t xml:space="preserve">1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Google Workspace for Education / Microsoft 365</w:t>
            </w:r>
          </w:p>
        </w:tc>
        <w:tc>
          <w:tcPr>
            <w:tcW w:w="1859" w:type="dxa"/>
          </w:tcPr>
          <w:p>
            <w:pPr/>
            <w:r>
              <w:t xml:space="preserve">Salida</w:t>
            </w:r>
          </w:p>
        </w:tc>
        <w:tc>
          <w:tcPr>
            <w:tcW w:w="4236" w:type="dxa"/>
          </w:tcPr>
          <w:p>
            <w:pPr/>
            <w:r>
              <w:t xml:space="preserve">Cuentas, grupos por sección, SSO</w:t>
            </w:r>
          </w:p>
        </w:tc>
        <w:tc>
          <w:tcPr>
            <w:tcW w:w="750" w:type="dxa"/>
          </w:tcPr>
          <w:p>
            <w:pPr/>
            <w:r>
              <w:t xml:space="preserve">1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WhatsApp Business API, SMS, email</w:t>
            </w:r>
          </w:p>
        </w:tc>
        <w:tc>
          <w:tcPr>
            <w:tcW w:w="1859" w:type="dxa"/>
          </w:tcPr>
          <w:p>
            <w:pPr/>
            <w:r>
              <w:t xml:space="preserve">Salida</w:t>
            </w:r>
          </w:p>
        </w:tc>
        <w:tc>
          <w:tcPr>
            <w:tcW w:w="4236" w:type="dxa"/>
          </w:tcPr>
          <w:p>
            <w:pPr/>
            <w:r>
              <w:t xml:space="preserve">Avisos, recordatorios de pago, alertas de asistencia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Pasarelas de pago (locales e internacionales)</w:t>
            </w:r>
          </w:p>
        </w:tc>
        <w:tc>
          <w:tcPr>
            <w:tcW w:w="1859" w:type="dxa"/>
          </w:tcPr>
          <w:p>
            <w:pPr/>
            <w:r>
              <w:t xml:space="preserve">Bidireccional</w:t>
            </w:r>
          </w:p>
        </w:tc>
        <w:tc>
          <w:tcPr>
            <w:tcW w:w="4236" w:type="dxa"/>
          </w:tcPr>
          <w:p>
            <w:pPr/>
            <w:r>
              <w:t xml:space="preserve">Cobros con tarjeta, enlaces de pago, confirmaciones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Bancos (archivos o API)</w:t>
            </w:r>
          </w:p>
        </w:tc>
        <w:tc>
          <w:tcPr>
            <w:tcW w:w="1859" w:type="dxa"/>
          </w:tcPr>
          <w:p>
            <w:pPr/>
            <w:r>
              <w:t xml:space="preserve">Entrada</w:t>
            </w:r>
          </w:p>
        </w:tc>
        <w:tc>
          <w:tcPr>
            <w:tcW w:w="4236" w:type="dxa"/>
          </w:tcPr>
          <w:p>
            <w:pPr/>
            <w:r>
              <w:t xml:space="preserve">Estados de cuenta para conciliación de transferencias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Proveedor de e-CF certificado ante la DGII</w:t>
            </w:r>
          </w:p>
        </w:tc>
        <w:tc>
          <w:tcPr>
            <w:tcW w:w="1859" w:type="dxa"/>
          </w:tcPr>
          <w:p>
            <w:pPr/>
            <w:r>
              <w:t xml:space="preserve">Salida / estado</w:t>
            </w:r>
          </w:p>
        </w:tc>
        <w:tc>
          <w:tcPr>
            <w:tcW w:w="4236" w:type="dxa"/>
          </w:tcPr>
          <w:p>
            <w:pPr/>
            <w:r>
              <w:t xml:space="preserve">Emisión y validación de comprobantes fiscales electrónicos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Moodle, Google Classroom, Teams</w:t>
            </w:r>
          </w:p>
        </w:tc>
        <w:tc>
          <w:tcPr>
            <w:tcW w:w="1859" w:type="dxa"/>
          </w:tcPr>
          <w:p>
            <w:pPr/>
            <w:r>
              <w:t xml:space="preserve">Bidireccional</w:t>
            </w:r>
          </w:p>
        </w:tc>
        <w:tc>
          <w:tcPr>
            <w:tcW w:w="4236" w:type="dxa"/>
          </w:tcPr>
          <w:p>
            <w:pPr/>
            <w:r>
              <w:t xml:space="preserve">Clases, inscripciones (salida); notas de actividades (entrada)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SIGERD (MINERD)</w:t>
            </w:r>
          </w:p>
        </w:tc>
        <w:tc>
          <w:tcPr>
            <w:tcW w:w="1859" w:type="dxa"/>
          </w:tcPr>
          <w:p>
            <w:pPr/>
            <w:r>
              <w:t xml:space="preserve">Exportación</w:t>
            </w:r>
          </w:p>
        </w:tc>
        <w:tc>
          <w:tcPr>
            <w:tcW w:w="4236" w:type="dxa"/>
          </w:tcPr>
          <w:p>
            <w:pPr/>
            <w:r>
              <w:t xml:space="preserve">Matrícula y calificaciones; conexión automática solo si existe mecanismo oficial autorizado</w:t>
            </w:r>
          </w:p>
        </w:tc>
        <w:tc>
          <w:tcPr>
            <w:tcW w:w="750" w:type="dxa"/>
          </w:tcPr>
          <w:p>
            <w:pPr/>
            <w:r>
              <w:t xml:space="preserve">2</w:t>
            </w:r>
          </w:p>
        </w:tc>
      </w:tr>
      <w:tr>
        <w:tc>
          <w:tcPr>
            <w:tcW w:w="2515" w:type="dxa"/>
          </w:tcPr>
          <w:p>
            <w:pPr/>
            <w:r>
              <w:t xml:space="preserve">Contabilidad externa</w:t>
            </w:r>
          </w:p>
        </w:tc>
        <w:tc>
          <w:tcPr>
            <w:tcW w:w="1859" w:type="dxa"/>
          </w:tcPr>
          <w:p>
            <w:pPr/>
            <w:r>
              <w:t xml:space="preserve">Salida</w:t>
            </w:r>
          </w:p>
        </w:tc>
        <w:tc>
          <w:tcPr>
            <w:tcW w:w="4236" w:type="dxa"/>
          </w:tcPr>
          <w:p>
            <w:pPr/>
            <w:r>
              <w:t xml:space="preserve">Asientos resumidos de ingresos y cuentas por cobrar</w:t>
            </w:r>
          </w:p>
        </w:tc>
        <w:tc>
          <w:tcPr>
            <w:tcW w:w="750" w:type="dxa"/>
          </w:tcPr>
          <w:p>
            <w:pPr/>
            <w:r>
              <w:t xml:space="preserve">3</w:t>
            </w:r>
          </w:p>
        </w:tc>
      </w:tr>
    </w:tbl>
    <w:p>
      <w:pPr>
        <w:pStyle w:val="Heading3"/>
      </w:pPr>
      <w:r>
        <w:t xml:space="preserve">Gobierno de los datos integrados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Dueño por campo:</w:t>
      </w:r>
      <w:r>
        <w:t xml:space="preserve"> cada atributo tiene un sistema maestro definido; si Moodle y KNOROOMS difieren en una nota final, gana KNOROOMS y el conflicto queda registrado.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Idempotencia:</w:t>
      </w:r>
      <w:r>
        <w:t xml:space="preserve"> toda operación entrante lleva una clave de idempotencia; reintentar nunca duplica un pago ni una matrícula.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Mapeo de identificadores:</w:t>
      </w:r>
      <w:r>
        <w:t xml:space="preserve"> tabla de equivalencias </w:t>
      </w:r>
      <w:r>
        <w:rPr>
          <w:rStyle w:val="CodeChar"/>
        </w:rPr>
        <w:t xml:space="preserve">id interno ↔ id externo</w:t>
      </w:r>
      <w:r>
        <w:t xml:space="preserve"> por conexión y por tenant.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Calidad:</w:t>
      </w:r>
      <w:r>
        <w:t xml:space="preserve"> validaciones en la entrada (cédula, correo, duplicados por nombre + fecha de nacimiento) y cola de excepciones revisable por secretaría.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Linaje:</w:t>
      </w:r>
      <w:r>
        <w:t xml:space="preserve"> cada dato importado guarda origen, archivo o conexión, fecha y usuario que lo aprobó.</w:t>
      </w:r>
    </w:p>
    <w:p>
      <w:pPr>
        <w:pStyle w:val="Heading2"/>
      </w:pPr>
      <w:r>
        <w:t xml:space="preserve">Buenas prácticas</w:t>
      </w:r>
    </w:p>
    <w:p>
      <w:pPr/>
      <w:r>
        <w:t xml:space="preserve">El estándar de la industria se resume en tres compromisos que el centro debe poder verificar: ningún dato cruza entre centros, toda nota y todo pago es trazable, y el centro puede llevarse sus datos cuando quiera.</w:t>
      </w:r>
    </w:p>
    <w:p>
      <w:pPr>
        <w:pStyle w:val="Heading3"/>
      </w:pPr>
      <w:r>
        <w:t xml:space="preserve">Seguridad</w:t>
      </w:r>
    </w:p>
    <w:p>
      <w:pPr>
        <w:pStyle w:val="ListParagraph"/>
        <w:numPr>
          <w:ilvl w:val="0"/>
          <w:numId w:val="5"/>
        </w:numPr>
      </w:pPr>
      <w:r>
        <w:t xml:space="preserve">Alineación con </w:t>
      </w:r>
      <w:r>
        <w:rPr>
          <w:b/>
        </w:rPr>
        <w:t xml:space="preserve">OWASP ASVS nivel 2</w:t>
      </w:r>
      <w:r>
        <w:t xml:space="preserve"> y </w:t>
      </w:r>
      <w:r>
        <w:rPr>
          <w:b/>
        </w:rPr>
        <w:t xml:space="preserve">OWASP Top 10</w:t>
      </w:r>
      <w:r>
        <w:t xml:space="preserve">; pruebas de penetración externas antes del lanzamiento y una vez al año.</w:t>
      </w:r>
    </w:p>
    <w:p>
      <w:pPr>
        <w:pStyle w:val="ListParagraph"/>
        <w:numPr>
          <w:ilvl w:val="0"/>
          <w:numId w:val="5"/>
        </w:numPr>
      </w:pPr>
      <w:r>
        <w:t xml:space="preserve">Cifrado TLS 1.2+ en tránsito y AES-256 en reposo; cifrado adicional a nivel de campo para cédula, datos de salud y registros de orientación.</w:t>
      </w:r>
    </w:p>
    <w:p>
      <w:pPr>
        <w:pStyle w:val="ListParagraph"/>
        <w:numPr>
          <w:ilvl w:val="0"/>
          <w:numId w:val="5"/>
        </w:numPr>
      </w:pPr>
      <w:r>
        <w:t xml:space="preserve">MFA obligatorio para personal administrativo, finanzas y soporte; opcional para familias.</w:t>
      </w:r>
    </w:p>
    <w:p>
      <w:pPr>
        <w:pStyle w:val="ListParagraph"/>
        <w:numPr>
          <w:ilvl w:val="0"/>
          <w:numId w:val="5"/>
        </w:numPr>
      </w:pPr>
      <w:r>
        <w:t xml:space="preserve">Pruebas automáticas de aislamiento: cada release ejecuta casos que intentan leer datos de otro tenant cambiando IDs y URLs.</w:t>
      </w:r>
    </w:p>
    <w:p>
      <w:pPr>
        <w:pStyle w:val="ListParagraph"/>
        <w:numPr>
          <w:ilvl w:val="0"/>
          <w:numId w:val="5"/>
        </w:numPr>
      </w:pPr>
      <w:r>
        <w:t xml:space="preserve">Gestión de secretos en un vault, rotación de llaves, principio de mínimo privilegio en la nube.</w:t>
      </w:r>
    </w:p>
    <w:p>
      <w:pPr>
        <w:pStyle w:val="ListParagraph"/>
        <w:numPr>
          <w:ilvl w:val="0"/>
          <w:numId w:val="5"/>
        </w:numPr>
      </w:pPr>
      <w:r>
        <w:t xml:space="preserve">Ruta hacia </w:t>
      </w:r>
      <w:r>
        <w:rPr>
          <w:b/>
        </w:rPr>
        <w:t xml:space="preserve">SOC 2 Tipo II</w:t>
      </w:r>
      <w:r>
        <w:t xml:space="preserve"> o </w:t>
      </w:r>
      <w:r>
        <w:rPr>
          <w:b/>
        </w:rPr>
        <w:t xml:space="preserve">ISO/IEC 27001</w:t>
      </w:r>
      <w:r>
        <w:t xml:space="preserve"> cuando se vendan contratos universitarios o en EE. UU.</w:t>
      </w:r>
    </w:p>
    <w:p>
      <w:pPr>
        <w:pStyle w:val="Heading3"/>
      </w:pPr>
      <w:r>
        <w:t xml:space="preserve">Privacidad y protección de menores</w:t>
      </w:r>
    </w:p>
    <w:p>
      <w:pPr>
        <w:pStyle w:val="ListParagraph"/>
        <w:numPr>
          <w:ilvl w:val="0"/>
          <w:numId w:val="6"/>
        </w:numPr>
      </w:pPr>
      <w:r>
        <w:t xml:space="preserve">Cumplimiento de la </w:t>
      </w:r>
      <w:r>
        <w:rPr>
          <w:b/>
        </w:rPr>
        <w:t xml:space="preserve">Ley 172-13</w:t>
      </w:r>
      <w:r>
        <w:t xml:space="preserve"> de protección de datos personales (RD) y del </w:t>
      </w:r>
      <w:r>
        <w:rPr>
          <w:b/>
        </w:rPr>
        <w:t xml:space="preserve">Código de protección de niños, niñas y adolescentes (Ley 136-03)</w:t>
      </w:r>
      <w:r>
        <w:t xml:space="preserve">; para clientes en EE. UU., FERPA y COPPA. Validar con asesor legal antes del piloto.</w:t>
      </w:r>
    </w:p>
    <w:p>
      <w:pPr>
        <w:pStyle w:val="ListParagraph"/>
        <w:numPr>
          <w:ilvl w:val="0"/>
          <w:numId w:val="6"/>
        </w:numPr>
      </w:pPr>
      <w:r>
        <w:t xml:space="preserve">Contrato de tratamiento de datos (DPA) con cada centro: el centro es responsable, KNOROOMS es encargado.</w:t>
      </w:r>
    </w:p>
    <w:p>
      <w:pPr>
        <w:pStyle w:val="ListParagraph"/>
        <w:numPr>
          <w:ilvl w:val="0"/>
          <w:numId w:val="6"/>
        </w:numPr>
      </w:pPr>
      <w:r>
        <w:t xml:space="preserve">Consentimientos registrados por responsable (uso de imagen, comunicaciones, compartir con terceros), con fecha y versión del texto.</w:t>
      </w:r>
    </w:p>
    <w:p>
      <w:pPr>
        <w:pStyle w:val="ListParagraph"/>
        <w:numPr>
          <w:ilvl w:val="0"/>
          <w:numId w:val="6"/>
        </w:numPr>
      </w:pPr>
      <w:r>
        <w:t xml:space="preserve">Minimización: no recolectar datos que ningún módulo contratado usa; políticas de retención por tipo de documento.</w:t>
      </w:r>
    </w:p>
    <w:p>
      <w:pPr>
        <w:pStyle w:val="ListParagraph"/>
        <w:numPr>
          <w:ilvl w:val="0"/>
          <w:numId w:val="6"/>
        </w:numPr>
      </w:pPr>
      <w:r>
        <w:t xml:space="preserve">Ningún dato de estudiantes se usa para publicidad ni para entrenar modelos de IA de terceros.</w:t>
      </w:r>
    </w:p>
    <w:p>
      <w:pPr>
        <w:pStyle w:val="Heading3"/>
      </w:pPr>
      <w:r>
        <w:t xml:space="preserve">Integridad académica y financiera</w:t>
      </w:r>
    </w:p>
    <w:p>
      <w:pPr>
        <w:pStyle w:val="ListParagraph"/>
        <w:numPr>
          <w:ilvl w:val="0"/>
          <w:numId w:val="7"/>
        </w:numPr>
      </w:pPr>
      <w:r>
        <w:t xml:space="preserve">Notas con ciclo de estados: </w:t>
      </w:r>
      <w:r>
        <w:rPr>
          <w:i/>
        </w:rPr>
        <w:t xml:space="preserve">borrador → enviada → revisada → publicada → cerrada</w:t>
      </w:r>
      <w:r>
        <w:t xml:space="preserve">; reabrir exige permiso, motivo y deja rastro.</w:t>
      </w:r>
    </w:p>
    <w:p>
      <w:pPr>
        <w:pStyle w:val="ListParagraph"/>
        <w:numPr>
          <w:ilvl w:val="0"/>
          <w:numId w:val="7"/>
        </w:numPr>
      </w:pPr>
      <w:r>
        <w:t xml:space="preserve">Reglas de cálculo versionadas por período y probadas con casos reales del piloto antes de activarse.</w:t>
      </w:r>
    </w:p>
    <w:p>
      <w:pPr>
        <w:pStyle w:val="ListParagraph"/>
        <w:numPr>
          <w:ilvl w:val="0"/>
          <w:numId w:val="7"/>
        </w:numPr>
      </w:pPr>
      <w:r>
        <w:t xml:space="preserve">Libro financiero de solo anexar; anulaciones con contra-movimiento y aprobación de un segundo usuario.</w:t>
      </w:r>
    </w:p>
    <w:p>
      <w:pPr>
        <w:pStyle w:val="ListParagraph"/>
        <w:numPr>
          <w:ilvl w:val="0"/>
          <w:numId w:val="7"/>
        </w:numPr>
      </w:pPr>
      <w:r>
        <w:t xml:space="preserve">Documentos oficiales con firma digital y QR de verificación pública.</w:t>
      </w:r>
    </w:p>
    <w:p>
      <w:pPr>
        <w:pStyle w:val="Heading3"/>
      </w:pPr>
      <w:r>
        <w:t xml:space="preserve">Ingeniería y DevOps</w:t>
      </w:r>
    </w:p>
    <w:p>
      <w:pPr>
        <w:pStyle w:val="ListParagraph"/>
        <w:numPr>
          <w:ilvl w:val="0"/>
          <w:numId w:val="8"/>
        </w:numPr>
      </w:pPr>
      <w:r>
        <w:t xml:space="preserve">Repositorio único (monorepo), revisión de código obligatoria, CI/CD con pruebas unitarias, de integración y end-to-end.</w:t>
      </w:r>
    </w:p>
    <w:p>
      <w:pPr>
        <w:pStyle w:val="ListParagraph"/>
        <w:numPr>
          <w:ilvl w:val="0"/>
          <w:numId w:val="8"/>
        </w:numPr>
      </w:pPr>
      <w:r>
        <w:t xml:space="preserve">Entornos separados: desarrollo, staging con datos anonimizados, producción. Nunca datos reales fuera de producción.</w:t>
      </w:r>
    </w:p>
    <w:p>
      <w:pPr>
        <w:pStyle w:val="ListParagraph"/>
        <w:numPr>
          <w:ilvl w:val="0"/>
          <w:numId w:val="8"/>
        </w:numPr>
      </w:pPr>
      <w:r>
        <w:t xml:space="preserve">Migraciones de base de datos compatibles hacia atrás; despliegues sin interrupción (blue-green o canary) fuera de ventanas de cierre de período.</w:t>
      </w:r>
    </w:p>
    <w:p>
      <w:pPr>
        <w:pStyle w:val="ListParagraph"/>
        <w:numPr>
          <w:ilvl w:val="0"/>
          <w:numId w:val="8"/>
        </w:numPr>
      </w:pPr>
      <w:r>
        <w:t xml:space="preserve">Infraestructura como código (Terraform) y documentación de arquitectura con ADR (registros de decisión).</w:t>
      </w:r>
    </w:p>
    <w:p>
      <w:pPr>
        <w:pStyle w:val="ListParagraph"/>
        <w:numPr>
          <w:ilvl w:val="0"/>
          <w:numId w:val="8"/>
        </w:numPr>
      </w:pPr>
      <w:r>
        <w:t xml:space="preserve">Observabilidad por tenant: latencia, errores y costo de infraestructura por centro.</w:t>
      </w:r>
    </w:p>
    <w:p>
      <w:pPr>
        <w:pStyle w:val="Heading3"/>
      </w:pPr>
      <w:r>
        <w:t xml:space="preserve">Continuidad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4"/>
        <w:gridCol w:w="5405"/>
      </w:tblGrid>
      <w:tr>
        <w:trPr>
          <w:tblHeader/>
        </w:trPr>
        <w:tc>
          <w:tcPr>
            <w:tcW w:w="3954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5405" w:type="dxa"/>
            <w:shd w:val="clear" w:color="auto" w:fill="F2F2F2"/>
          </w:tcPr>
          <w:p>
            <w:pPr/>
            <w:r>
              <w:t xml:space="preserve">Objetivo propuesto</w:t>
            </w:r>
          </w:p>
        </w:tc>
      </w:tr>
      <w:tr>
        <w:tc>
          <w:tcPr>
            <w:tcW w:w="3954" w:type="dxa"/>
          </w:tcPr>
          <w:p>
            <w:pPr/>
            <w:r>
              <w:t xml:space="preserve">Disponibilidad mensual (SLA)</w:t>
            </w:r>
          </w:p>
        </w:tc>
        <w:tc>
          <w:tcPr>
            <w:tcW w:w="5405" w:type="dxa"/>
          </w:tcPr>
          <w:p>
            <w:pPr/>
            <w:r>
              <w:t xml:space="preserve">99,9 % (≈ 43 min de caída al mes)</w:t>
            </w:r>
          </w:p>
        </w:tc>
      </w:tr>
      <w:tr>
        <w:tc>
          <w:tcPr>
            <w:tcW w:w="3954" w:type="dxa"/>
          </w:tcPr>
          <w:p>
            <w:pPr/>
            <w:r>
              <w:t xml:space="preserve">RPO (pérdida máxima de datos)</w:t>
            </w:r>
          </w:p>
        </w:tc>
        <w:tc>
          <w:tcPr>
            <w:tcW w:w="5405" w:type="dxa"/>
          </w:tcPr>
          <w:p>
            <w:pPr/>
            <w:r>
              <w:t xml:space="preserve">15 minutos, con respaldo continuo de PostgreSQL</w:t>
            </w:r>
          </w:p>
        </w:tc>
      </w:tr>
      <w:tr>
        <w:tc>
          <w:tcPr>
            <w:tcW w:w="3954" w:type="dxa"/>
          </w:tcPr>
          <w:p>
            <w:pPr/>
            <w:r>
              <w:t xml:space="preserve">RTO (tiempo de recuperación)</w:t>
            </w:r>
          </w:p>
        </w:tc>
        <w:tc>
          <w:tcPr>
            <w:tcW w:w="5405" w:type="dxa"/>
          </w:tcPr>
          <w:p>
            <w:pPr/>
            <w:r>
              <w:t xml:space="preserve">4 horas</w:t>
            </w:r>
          </w:p>
        </w:tc>
      </w:tr>
      <w:tr>
        <w:tc>
          <w:tcPr>
            <w:tcW w:w="3954" w:type="dxa"/>
          </w:tcPr>
          <w:p>
            <w:pPr/>
            <w:r>
              <w:t xml:space="preserve">Respaldos</w:t>
            </w:r>
          </w:p>
        </w:tc>
        <w:tc>
          <w:tcPr>
            <w:tcW w:w="5405" w:type="dxa"/>
          </w:tcPr>
          <w:p>
            <w:pPr/>
            <w:r>
              <w:t xml:space="preserve">Diarios, retenidos 35 días, copia en otra región; prueba de restauración trimestral</w:t>
            </w:r>
          </w:p>
        </w:tc>
      </w:tr>
      <w:tr>
        <w:tc>
          <w:tcPr>
            <w:tcW w:w="3954" w:type="dxa"/>
          </w:tcPr>
          <w:p>
            <w:pPr/>
            <w:r>
              <w:t xml:space="preserve">Exportación de salida</w:t>
            </w:r>
          </w:p>
        </w:tc>
        <w:tc>
          <w:tcPr>
            <w:tcW w:w="5405" w:type="dxa"/>
          </w:tcPr>
          <w:p>
            <w:pPr/>
            <w:r>
              <w:t xml:space="preserve">Completa en formatos abiertos (CSV, JSON, PDF) dentro de 30 días tras cancelar</w:t>
            </w:r>
          </w:p>
        </w:tc>
      </w:tr>
    </w:tbl>
    <w:p>
      <w:pPr>
        <w:pStyle w:val="Heading3"/>
      </w:pPr>
      <w:r>
        <w:t xml:space="preserve">Experiencia de uso</w:t>
      </w:r>
    </w:p>
    <w:p>
      <w:pPr>
        <w:pStyle w:val="ListParagraph"/>
        <w:numPr>
          <w:ilvl w:val="0"/>
          <w:numId w:val="9"/>
        </w:numPr>
      </w:pPr>
      <w:r>
        <w:t xml:space="preserve">Mobile-first para familias y docentes: tomar asistencia de una sección en menos de 30 segundos desde el celular.</w:t>
      </w:r>
    </w:p>
    <w:p>
      <w:pPr>
        <w:pStyle w:val="ListParagraph"/>
        <w:numPr>
          <w:ilvl w:val="0"/>
          <w:numId w:val="9"/>
        </w:numPr>
      </w:pPr>
      <w:r>
        <w:t xml:space="preserve">Accesibilidad </w:t>
      </w:r>
      <w:r>
        <w:rPr>
          <w:b/>
        </w:rPr>
        <w:t xml:space="preserve">WCAG 2.2 nivel AA</w:t>
      </w:r>
      <w:r>
        <w:t xml:space="preserve">; interfaz bilingüe español / inglés desde el inicio.</w:t>
      </w:r>
    </w:p>
    <w:p>
      <w:pPr>
        <w:pStyle w:val="ListParagraph"/>
        <w:numPr>
          <w:ilvl w:val="0"/>
          <w:numId w:val="9"/>
        </w:numPr>
      </w:pPr>
      <w:r>
        <w:t xml:space="preserve">Funcionamiento con conectividad intermitente para asistencia (cola local en la PWA).</w:t>
      </w:r>
    </w:p>
    <w:p>
      <w:pPr>
        <w:pStyle w:val="ListParagraph"/>
        <w:numPr>
          <w:ilvl w:val="0"/>
          <w:numId w:val="9"/>
        </w:numPr>
      </w:pPr>
      <w:r>
        <w:t xml:space="preserve">Centro de ayuda, guías por rol y onboarding dentro de la aplicación para bajar el costo de soporte.</w:t>
      </w:r>
    </w:p>
    <w:p>
      <w:pPr>
        <w:pStyle w:val="Heading3"/>
      </w:pPr>
      <w:r>
        <w:t xml:space="preserve">Producto y negocio</w:t>
      </w:r>
    </w:p>
    <w:p>
      <w:pPr>
        <w:pStyle w:val="ListParagraph"/>
        <w:numPr>
          <w:ilvl w:val="0"/>
          <w:numId w:val="10"/>
        </w:numPr>
      </w:pPr>
      <w:r>
        <w:t xml:space="preserve">Configuración antes que personalización: cada pedido especial se evalúa como opción para todos o como servicio pagado.</w:t>
      </w:r>
    </w:p>
    <w:p>
      <w:pPr>
        <w:pStyle w:val="ListParagraph"/>
        <w:numPr>
          <w:ilvl w:val="0"/>
          <w:numId w:val="10"/>
        </w:numPr>
      </w:pPr>
      <w:r>
        <w:t xml:space="preserve">Medir desde el piloto: horas de implementación por centro, tickets por cada 100 estudiantes, uso semanal por rol.</w:t>
      </w:r>
    </w:p>
    <w:p>
      <w:pPr>
        <w:pStyle w:val="ListParagraph"/>
        <w:numPr>
          <w:ilvl w:val="0"/>
          <w:numId w:val="10"/>
        </w:numPr>
      </w:pPr>
      <w:r>
        <w:t xml:space="preserve">Precio por estudiante activo y módulos, como en la propuesta; facturación de la suscripción separada de los cobros a familias.</w:t>
      </w:r>
    </w:p>
    <w:p>
      <w:pPr>
        <w:pStyle w:val="Heading2"/>
      </w:pPr>
      <w:r>
        <w:t xml:space="preserve">Hoja de ruta y próximos pasos</w:t>
      </w:r>
    </w:p>
    <w:p>
      <w:pPr/>
      <w:r>
        <w:t xml:space="preserve">El desarrollo avanza en cuatro fases; cada una se libera solo cuando un centro piloto supera su compuerta, así el perfil universitario se construye sobre un núcleo ya probado en colegios.</w:t>
      </w:r>
    </w:p>
    <w:p>
      <w:pPr/>
      <w:r>
        <w:drawing>
          <wp:inline distT="0" distB="0" distL="0" distR="0">
            <wp:extent cx="5486400" cy="4384221"/>
            <wp:docPr id="2" name="image2" descr="hoja de ruta · 4 fases, 3 compuer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oja de ruta · 4 fases, 3 compuert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hoja de ruta · 4 fases, 3 compuertas</w:t>
      </w:r>
    </w:p>
    <w:p>
      <w:pPr/>
      <w:r>
        <w:t xml:space="preserve">La fase 1 (resaltada) coincide con el alcance de la propuesta v1.0; las fases 2 y 3 cubren lo que faltaba. Fechas y presupuesto se fijan al cerrar la fase 0.</w:t>
      </w:r>
    </w:p>
    <w:p>
      <w:pPr>
        <w:pStyle w:val="Heading3"/>
      </w:pPr>
      <w:r>
        <w:t xml:space="preserve">Próximos pasos</w:t>
      </w:r>
    </w:p>
    <w:p>
      <w:pPr>
        <w:pStyle w:val="ListParagraph"/>
        <w:numPr>
          <w:ilvl w:val="0"/>
          <w:numId w:val="11"/>
        </w:numPr>
      </w:pPr>
      <w:r>
        <w:t xml:space="preserve">☐ Decidir entre socios si el alcance incluye universidades desde el diseño (recomendado) aunque se construyan en fase 2</w:t>
      </w:r>
    </w:p>
    <w:p>
      <w:pPr>
        <w:pStyle w:val="ListParagraph"/>
        <w:numPr>
          <w:ilvl w:val="0"/>
          <w:numId w:val="11"/>
        </w:numPr>
      </w:pPr>
      <w:r>
        <w:t xml:space="preserve">☐ Confirmar 2–3 colegios piloto y al menos una universidad interesada</w:t>
      </w:r>
    </w:p>
    <w:p>
      <w:pPr>
        <w:pStyle w:val="ListParagraph"/>
        <w:numPr>
          <w:ilvl w:val="0"/>
          <w:numId w:val="11"/>
        </w:numPr>
      </w:pPr>
      <w:r>
        <w:t xml:space="preserve">☐ Validar con asesor legal Ley 172-13, protección de menores y facturación electrónica</w:t>
      </w:r>
    </w:p>
    <w:p>
      <w:pPr>
        <w:pStyle w:val="ListParagraph"/>
        <w:numPr>
          <w:ilvl w:val="0"/>
          <w:numId w:val="11"/>
        </w:numPr>
      </w:pPr>
      <w:r>
        <w:t xml:space="preserve">☐ Elegir proveedor de identidad y nube (costo por tenant)</w:t>
      </w:r>
    </w:p>
    <w:p>
      <w:pPr>
        <w:pStyle w:val="ListParagraph"/>
        <w:numPr>
          <w:ilvl w:val="0"/>
          <w:numId w:val="11"/>
        </w:numPr>
      </w:pPr>
      <w:r>
        <w:t xml:space="preserve">☐ Redactar requisitos con casos de uso y prototipos de las pantallas principales</w:t>
      </w:r>
    </w:p>
    <w:p>
      <w:pPr>
        <w:pStyle w:val="ListParagraph"/>
        <w:numPr>
          <w:ilvl w:val="0"/>
          <w:numId w:val="11"/>
        </w:numPr>
      </w:pPr>
      <w:r>
        <w:t xml:space="preserve">☐ Escribir los ADR de multi-tenancy, motor de reglas y modelo financiero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Arquitectura SaaS Educativo Knorooms — Colegios y Universidades</dc:title>
  <dc:description>Claude Docs node/b09a1401-aca5@9 docx-w7</dc:description>
  <cp:revision>9</cp:revision>
</cp:coreProperties>
</file>