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36"/>
        </w:rPr>
        <w:t>BancaFiel — Workflow &amp; AWS Services</w:t>
      </w:r>
    </w:p>
    <w:p>
      <w:pPr>
        <w:spacing w:before="0" w:after="120"/>
        <w:jc w:val="left"/>
        <w:pBdr>
          <w:bottom w:val="single" w:sz="6" w:space="4" w:color="FF9900"/>
        </w:pBdr>
      </w:pPr>
      <w:r>
        <w:rPr>
          <w:color w:val="64748B"/>
          <w:sz w:val="18"/>
        </w:rPr>
        <w:t>Version: March 2026  ·  Stack: AWS Serverless  ·  Region: us-east-1</w:t>
      </w:r>
    </w:p>
    <w:p>
      <w:pPr>
        <w:spacing w:before="160" w:after="60"/>
      </w:pPr>
      <w:r>
        <w:rPr>
          <w:b/>
          <w:color w:val="FF9900"/>
          <w:sz w:val="24"/>
        </w:rPr>
        <w:t>1. How the System Works (End-to-End)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39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cafie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0F172A"/>
          <w:sz w:val="20"/>
        </w:rPr>
        <w:t>Entry Point</w:t>
      </w:r>
    </w:p>
    <w:p>
      <w:pPr>
        <w:spacing w:after="40"/>
        <w:ind w:left="288"/>
      </w:pPr>
      <w:r>
        <w:rPr>
          <w:color w:val="374151"/>
          <w:sz w:val="18"/>
        </w:rPr>
        <w:t>A client submits a loan application through www.bancafiel.com by uploading their INE (national ID) and proof of address. These files land in an S3 bucket, which automatically triggers the pipeline. Clients also use a REST API to check status, register, and log in.</w:t>
      </w:r>
    </w:p>
    <w:p>
      <w:pPr>
        <w:spacing w:before="100" w:after="40"/>
      </w:pPr>
      <w:r>
        <w:rPr>
          <w:b/>
          <w:color w:val="0F172A"/>
          <w:sz w:val="20"/>
        </w:rPr>
        <w:t>Phase 1 — Document Intelligence (Lambdas 1–3)</w:t>
      </w:r>
    </w:p>
    <w:p>
      <w:pPr>
        <w:spacing w:before="20" w:after="20"/>
        <w:ind w:left="288"/>
      </w:pPr>
      <w:r>
        <w:rPr>
          <w:b/>
          <w:color w:val="0F172A"/>
          <w:sz w:val="18"/>
        </w:rPr>
        <w:t xml:space="preserve">Lambda 1 · processDocument — </w:t>
      </w:r>
      <w:r>
        <w:rPr>
          <w:color w:val="374151"/>
          <w:sz w:val="18"/>
        </w:rPr>
        <w:t>Triggered on S3 upload. Sends the document to Claude Sonnet via Amazon Bedrock for AI-powered OCR. Saves extracted fields to the database and asynchronously triggers Lambda 2.</w:t>
      </w:r>
    </w:p>
    <w:p>
      <w:pPr>
        <w:spacing w:before="20" w:after="20"/>
        <w:ind w:left="288"/>
      </w:pPr>
      <w:r>
        <w:rPr>
          <w:b/>
          <w:color w:val="0F172A"/>
          <w:sz w:val="18"/>
        </w:rPr>
        <w:t xml:space="preserve">Lambda 2 · extractData — </w:t>
      </w:r>
      <w:r>
        <w:rPr>
          <w:color w:val="374151"/>
          <w:sz w:val="18"/>
        </w:rPr>
        <w:t>Verifies the Bedrock output is complete and well-structured, organizes fields by document type (name, CURP, address, DOB), then asynchronously triggers Lambda 3.</w:t>
      </w:r>
    </w:p>
    <w:p>
      <w:pPr>
        <w:spacing w:before="20" w:after="20"/>
        <w:ind w:left="288"/>
      </w:pPr>
      <w:r>
        <w:rPr>
          <w:b/>
          <w:color w:val="0F172A"/>
          <w:sz w:val="18"/>
        </w:rPr>
        <w:t xml:space="preserve">Lambda 3 · validateData — </w:t>
      </w:r>
      <w:r>
        <w:rPr>
          <w:color w:val="374151"/>
          <w:sz w:val="18"/>
        </w:rPr>
        <w:t>Core validation step. Validates all fields, links the customer via their CURP, creates or finds the customer record in PostgreSQL, and sends the applicant a confirmation email. Only triggers Lambda 4 on the INE document to prevent the pipeline from running twice.</w:t>
      </w:r>
    </w:p>
    <w:p>
      <w:pPr>
        <w:spacing w:before="100" w:after="40"/>
      </w:pPr>
      <w:r>
        <w:rPr>
          <w:b/>
          <w:color w:val="0F172A"/>
          <w:sz w:val="20"/>
        </w:rPr>
        <w:t>Phase 2 — Fraud Detection (Lambda 4)</w:t>
      </w:r>
    </w:p>
    <w:p>
      <w:pPr>
        <w:spacing w:before="20" w:after="20"/>
        <w:ind w:left="288"/>
      </w:pPr>
      <w:r>
        <w:rPr>
          <w:b/>
          <w:color w:val="0F172A"/>
          <w:sz w:val="18"/>
        </w:rPr>
        <w:t xml:space="preserve">Lambda 4 · detectFraud — </w:t>
      </w:r>
      <w:r>
        <w:rPr>
          <w:color w:val="374151"/>
          <w:sz w:val="18"/>
        </w:rPr>
        <w:t>Runs a custom rule-based fraud scoring algorithm checking: debt-to-income ratio, age from CURP, ID consistency, duplicate applications, and blacklists. Assigns a risk level — HIGH → auto-reject; MEDIUM/LOW → analyst review via Step Functions.</w:t>
      </w:r>
    </w:p>
    <w:p>
      <w:pPr>
        <w:spacing w:before="100" w:after="40"/>
      </w:pPr>
      <w:r>
        <w:rPr>
          <w:b/>
          <w:color w:val="0F172A"/>
          <w:sz w:val="20"/>
        </w:rPr>
        <w:t>Phase 3 — Approval Workflow (Step Functions + Lambda 5)</w:t>
      </w:r>
    </w:p>
    <w:p>
      <w:pPr>
        <w:spacing w:before="20" w:after="20"/>
        <w:ind w:left="288"/>
      </w:pPr>
      <w:r>
        <w:rPr>
          <w:b/>
          <w:color w:val="0F172A"/>
          <w:sz w:val="18"/>
        </w:rPr>
        <w:t xml:space="preserve">Step Functions · Loan Workflow — </w:t>
      </w:r>
      <w:r>
        <w:rPr>
          <w:color w:val="374151"/>
          <w:sz w:val="18"/>
        </w:rPr>
        <w:t>Orchestrates the human-in-the-loop approval. Routes the case based on fraud risk and waits for the analyst's decision.</w:t>
      </w:r>
    </w:p>
    <w:p>
      <w:pPr>
        <w:spacing w:before="20" w:after="20"/>
        <w:ind w:left="288"/>
      </w:pPr>
      <w:r>
        <w:rPr>
          <w:b/>
          <w:color w:val="0F172A"/>
          <w:sz w:val="18"/>
        </w:rPr>
        <w:t xml:space="preserve">Lambda 5 · approvalNotifier — </w:t>
      </w:r>
      <w:r>
        <w:rPr>
          <w:color w:val="374151"/>
          <w:sz w:val="18"/>
        </w:rPr>
        <w:t>Sends an HTML email to the analyst with full application details, fraud score, and Approve/Reject buttons that call the REST API.</w:t>
      </w:r>
    </w:p>
    <w:p>
      <w:pPr>
        <w:spacing w:before="100" w:after="40"/>
      </w:pPr>
      <w:r>
        <w:rPr>
          <w:b/>
          <w:color w:val="0F172A"/>
          <w:sz w:val="20"/>
        </w:rPr>
        <w:t>Phase 4 — Decision &amp; Notification (Lambdas 6–7)</w:t>
      </w:r>
    </w:p>
    <w:p>
      <w:pPr>
        <w:spacing w:before="20" w:after="20"/>
        <w:ind w:left="288"/>
      </w:pPr>
      <w:r>
        <w:rPr>
          <w:b/>
          <w:color w:val="0F172A"/>
          <w:sz w:val="18"/>
        </w:rPr>
        <w:t xml:space="preserve">Lambda 6 · erpUpdater — </w:t>
      </w:r>
      <w:r>
        <w:rPr>
          <w:color w:val="374151"/>
          <w:sz w:val="18"/>
        </w:rPr>
        <w:t>Updates the application status in PostgreSQL and writes a full audit log entry. Asynchronously invokes Lambda 7.</w:t>
      </w:r>
    </w:p>
    <w:p>
      <w:pPr>
        <w:spacing w:before="20" w:after="20"/>
        <w:ind w:left="288"/>
      </w:pPr>
      <w:r>
        <w:rPr>
          <w:b/>
          <w:color w:val="0F172A"/>
          <w:sz w:val="18"/>
        </w:rPr>
        <w:t xml:space="preserve">Lambda 7 · notificationSender — </w:t>
      </w:r>
      <w:r>
        <w:rPr>
          <w:color w:val="374151"/>
          <w:sz w:val="18"/>
        </w:rPr>
        <w:t>Sends the applicant their result via Amazon SES using HTML email templates: received confirmation, approval, or rejection.</w:t>
      </w:r>
    </w:p>
    <w:p>
      <w:pPr>
        <w:spacing w:before="160" w:after="60"/>
      </w:pPr>
      <w:r>
        <w:rPr>
          <w:b/>
          <w:color w:val="FF9900"/>
          <w:sz w:val="24"/>
        </w:rPr>
        <w:t>2. AWS Services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721"/>
        <w:gridCol w:w="6803"/>
      </w:tblGrid>
      <w:tr>
        <w:tc>
          <w:tcPr>
            <w:tcW w:type="dxa" w:w="4986"/>
            <w:shd w:val="clear" w:color="auto" w:fill="FF990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986"/>
            <w:shd w:val="clear" w:color="auto" w:fill="FF990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Role in BancaFiel</w:t>
            </w:r>
          </w:p>
        </w:tc>
      </w:tr>
      <w:tr>
        <w:tc>
          <w:tcPr>
            <w:tcW w:type="dxa" w:w="2721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0F172A"/>
                <w:sz w:val="18"/>
              </w:rPr>
              <w:t>AWS Lambda</w:t>
            </w:r>
          </w:p>
        </w:tc>
        <w:tc>
          <w:tcPr>
            <w:tcW w:type="dxa" w:w="6803"/>
            <w:shd w:val="clear" w:color="auto" w:fill="FFF7ED"/>
          </w:tcPr>
          <w:p>
            <w:pPr>
              <w:spacing w:before="40" w:after="40"/>
            </w:pPr>
            <w:r>
              <w:rPr>
                <w:color w:val="0F172A"/>
                <w:sz w:val="18"/>
              </w:rPr>
              <w:t>Runs all 7 pipeline steps + REST API handlers — executes only when triggered, zero idle cost</w:t>
            </w:r>
          </w:p>
        </w:tc>
      </w:tr>
      <w:tr>
        <w:tc>
          <w:tcPr>
            <w:tcW w:type="dxa" w:w="272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F172A"/>
                <w:sz w:val="18"/>
              </w:rPr>
              <w:t>AWS Step Functions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</w:pPr>
            <w:r>
              <w:rPr>
                <w:color w:val="0F172A"/>
                <w:sz w:val="18"/>
              </w:rPr>
              <w:t>Orchestrates the analyst approval flow — routes HIGH/MEDIUM/LOW fraud risk to the correct path</w:t>
            </w:r>
          </w:p>
        </w:tc>
      </w:tr>
      <w:tr>
        <w:tc>
          <w:tcPr>
            <w:tcW w:type="dxa" w:w="2721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0F172A"/>
                <w:sz w:val="18"/>
              </w:rPr>
              <w:t>Amazon S3</w:t>
            </w:r>
          </w:p>
        </w:tc>
        <w:tc>
          <w:tcPr>
            <w:tcW w:type="dxa" w:w="6803"/>
            <w:shd w:val="clear" w:color="auto" w:fill="FFF7ED"/>
          </w:tcPr>
          <w:p>
            <w:pPr>
              <w:spacing w:before="40" w:after="40"/>
            </w:pPr>
            <w:r>
              <w:rPr>
                <w:color w:val="0F172A"/>
                <w:sz w:val="18"/>
              </w:rPr>
              <w:t>Stores uploaded loan documents — triggers the pipeline automatically on every upload</w:t>
            </w:r>
          </w:p>
        </w:tc>
      </w:tr>
      <w:tr>
        <w:tc>
          <w:tcPr>
            <w:tcW w:type="dxa" w:w="272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F172A"/>
                <w:sz w:val="18"/>
              </w:rPr>
              <w:t>Amazon RDS (PostgreSQL)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</w:pPr>
            <w:r>
              <w:rPr>
                <w:color w:val="0F172A"/>
                <w:sz w:val="18"/>
              </w:rPr>
              <w:t>Single source of truth — applications, customers, fraud scores, audit history, login accounts</w:t>
            </w:r>
          </w:p>
        </w:tc>
      </w:tr>
      <w:tr>
        <w:tc>
          <w:tcPr>
            <w:tcW w:type="dxa" w:w="2721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0F172A"/>
                <w:sz w:val="18"/>
              </w:rPr>
              <w:t>Amazon Bedrock (Claude)</w:t>
            </w:r>
          </w:p>
        </w:tc>
        <w:tc>
          <w:tcPr>
            <w:tcW w:type="dxa" w:w="6803"/>
            <w:shd w:val="clear" w:color="auto" w:fill="FFF7ED"/>
          </w:tcPr>
          <w:p>
            <w:pPr>
              <w:spacing w:before="40" w:after="40"/>
            </w:pPr>
            <w:r>
              <w:rPr>
                <w:color w:val="0F172A"/>
                <w:sz w:val="18"/>
              </w:rPr>
              <w:t>AI-powered OCR — reads and extracts structured data from ID documents</w:t>
            </w:r>
          </w:p>
        </w:tc>
      </w:tr>
      <w:tr>
        <w:tc>
          <w:tcPr>
            <w:tcW w:type="dxa" w:w="272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F172A"/>
                <w:sz w:val="18"/>
              </w:rPr>
              <w:t>Amazon API Gateway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</w:pPr>
            <w:r>
              <w:rPr>
                <w:color w:val="0F172A"/>
                <w:sz w:val="18"/>
              </w:rPr>
              <w:t>Exposes the REST API to the frontend — handles all HTTP requests from both portals</w:t>
            </w:r>
          </w:p>
        </w:tc>
      </w:tr>
      <w:tr>
        <w:tc>
          <w:tcPr>
            <w:tcW w:type="dxa" w:w="2721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0F172A"/>
                <w:sz w:val="18"/>
              </w:rPr>
              <w:t>Amazon CloudFront</w:t>
            </w:r>
          </w:p>
        </w:tc>
        <w:tc>
          <w:tcPr>
            <w:tcW w:type="dxa" w:w="6803"/>
            <w:shd w:val="clear" w:color="auto" w:fill="FFF7ED"/>
          </w:tcPr>
          <w:p>
            <w:pPr>
              <w:spacing w:before="40" w:after="40"/>
            </w:pPr>
            <w:r>
              <w:rPr>
                <w:color w:val="0F172A"/>
                <w:sz w:val="18"/>
              </w:rPr>
              <w:t>Serves www.bancafiel.com and analyst.bancafiel.com globally with low latency</w:t>
            </w:r>
          </w:p>
        </w:tc>
      </w:tr>
      <w:tr>
        <w:tc>
          <w:tcPr>
            <w:tcW w:type="dxa" w:w="272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F172A"/>
                <w:sz w:val="18"/>
              </w:rPr>
              <w:t>Amazon SES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</w:pPr>
            <w:r>
              <w:rPr>
                <w:color w:val="0F172A"/>
                <w:sz w:val="18"/>
              </w:rPr>
              <w:t>Sends all transactional HTML emails — received, approved, and rejected notifications</w:t>
            </w:r>
          </w:p>
        </w:tc>
      </w:tr>
      <w:tr>
        <w:tc>
          <w:tcPr>
            <w:tcW w:type="dxa" w:w="2721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0F172A"/>
                <w:sz w:val="18"/>
              </w:rPr>
              <w:t>AWS IAM</w:t>
            </w:r>
          </w:p>
        </w:tc>
        <w:tc>
          <w:tcPr>
            <w:tcW w:type="dxa" w:w="6803"/>
            <w:shd w:val="clear" w:color="auto" w:fill="FFF7ED"/>
          </w:tcPr>
          <w:p>
            <w:pPr>
              <w:spacing w:before="40" w:after="40"/>
            </w:pPr>
            <w:r>
              <w:rPr>
                <w:color w:val="0F172A"/>
                <w:sz w:val="18"/>
              </w:rPr>
              <w:t>Enforces least-privilege access — each Lambda only calls the exact services it needs</w:t>
            </w:r>
          </w:p>
        </w:tc>
      </w:tr>
      <w:tr>
        <w:tc>
          <w:tcPr>
            <w:tcW w:type="dxa" w:w="272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F172A"/>
                <w:sz w:val="18"/>
              </w:rPr>
              <w:t>AWS ACM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</w:pPr>
            <w:r>
              <w:rPr>
                <w:color w:val="0F172A"/>
                <w:sz w:val="18"/>
              </w:rPr>
              <w:t>Manages the SSL/TLS certificate for all three domains — enforces HTTPS everywhere</w:t>
            </w:r>
          </w:p>
        </w:tc>
      </w:tr>
      <w:tr>
        <w:tc>
          <w:tcPr>
            <w:tcW w:type="dxa" w:w="2721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0F172A"/>
                <w:sz w:val="18"/>
              </w:rPr>
              <w:t>CloudFront OAC</w:t>
            </w:r>
          </w:p>
        </w:tc>
        <w:tc>
          <w:tcPr>
            <w:tcW w:type="dxa" w:w="6803"/>
            <w:shd w:val="clear" w:color="auto" w:fill="FFF7ED"/>
          </w:tcPr>
          <w:p>
            <w:pPr>
              <w:spacing w:before="40" w:after="40"/>
            </w:pPr>
            <w:r>
              <w:rPr>
                <w:color w:val="0F172A"/>
                <w:sz w:val="18"/>
              </w:rPr>
              <w:t>Locks S3 so files can only be served through CloudFront — raw S3 URLs are blocked</w:t>
            </w:r>
          </w:p>
        </w:tc>
      </w:tr>
      <w:tr>
        <w:tc>
          <w:tcPr>
            <w:tcW w:type="dxa" w:w="272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F172A"/>
                <w:sz w:val="18"/>
              </w:rPr>
              <w:t>AWS SAM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</w:pPr>
            <w:r>
              <w:rPr>
                <w:color w:val="0F172A"/>
                <w:sz w:val="18"/>
              </w:rPr>
              <w:t>Defines and deploys the entire backend from a single YAML file — one command to deploy</w:t>
            </w:r>
          </w:p>
        </w:tc>
      </w:tr>
      <w:tr>
        <w:tc>
          <w:tcPr>
            <w:tcW w:type="dxa" w:w="2721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0F172A"/>
                <w:sz w:val="18"/>
              </w:rPr>
              <w:t>AWS CloudFormation</w:t>
            </w:r>
          </w:p>
        </w:tc>
        <w:tc>
          <w:tcPr>
            <w:tcW w:type="dxa" w:w="6803"/>
            <w:shd w:val="clear" w:color="auto" w:fill="FFF7ED"/>
          </w:tcPr>
          <w:p>
            <w:pPr>
              <w:spacing w:before="40" w:after="40"/>
            </w:pPr>
            <w:r>
              <w:rPr>
                <w:color w:val="0F172A"/>
                <w:sz w:val="18"/>
              </w:rPr>
              <w:t>Underlying engine used by SAM — manages all resources as a single versioned stack</w:t>
            </w:r>
          </w:p>
        </w:tc>
      </w:tr>
    </w:tbl>
    <w:p>
      <w:pPr>
        <w:spacing w:before="120"/>
      </w:pPr>
      <w:r>
        <w:rPr>
          <w:i/>
          <w:color w:val="64748B"/>
          <w:sz w:val="17"/>
        </w:rPr>
        <w:t>Total: 13 AWS services — the same stack trusted by Netflix, Airbnb, Apple, Disney, NASA, and 60% of the Fortune 500.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