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Calibri" w:hAnsi="Calibri" w:eastAsia="Calibri"/>
          <w:b/>
          <w:i w:val="0"/>
          <w:color w:val="2D5130"/>
          <w:sz w:val="32"/>
        </w:rPr>
        <w:t>OBSERVAÇÕES E REFLEXÕES</w:t>
      </w:r>
    </w:p>
    <w:p>
      <w:pPr>
        <w:spacing w:before="0" w:after="0" w:line="240" w:lineRule="auto"/>
        <w:jc w:val="center"/>
      </w:pPr>
      <w:r>
        <w:rPr>
          <w:rFonts w:ascii="Calibri" w:hAnsi="Calibri" w:eastAsia="Calibri"/>
          <w:b w:val="0"/>
          <w:i w:val="0"/>
          <w:color w:val="595959"/>
          <w:sz w:val="20"/>
        </w:rPr>
        <w:t>Pontos de atenção observados durante o levantamento, o agrupamento e a priorização</w:t>
      </w:r>
    </w:p>
    <w:p>
      <w:pPr>
        <w:spacing w:before="80" w:after="160" w:line="240" w:lineRule="auto"/>
        <w:jc w:val="center"/>
      </w:pPr>
      <w:r>
        <w:rPr>
          <w:rFonts w:ascii="Calibri" w:hAnsi="Calibri" w:eastAsia="Calibri"/>
          <w:b w:val="0"/>
          <w:i/>
          <w:color w:val="2D5130"/>
          <w:sz w:val="20"/>
        </w:rPr>
        <w:t xml:space="preserve">“Examinem tudo, retenham o que é bom.”  </w:t>
      </w:r>
      <w:r>
        <w:rPr>
          <w:rFonts w:ascii="Calibri" w:hAnsi="Calibri" w:eastAsia="Calibri"/>
          <w:b/>
          <w:i w:val="0"/>
          <w:color w:val="2D5130"/>
          <w:sz w:val="20"/>
        </w:rPr>
        <w:t>1 Tessalonicenses 5:21</w:t>
      </w:r>
    </w:p>
    <w:p>
      <w:pPr>
        <w:keepNext/>
        <w:spacing w:before="80" w:after="20" w:line="240" w:lineRule="auto"/>
      </w:pPr>
      <w:r>
        <w:rPr>
          <w:rFonts w:ascii="Calibri" w:hAnsi="Calibri" w:eastAsia="Calibri"/>
          <w:b/>
          <w:i w:val="0"/>
          <w:color w:val="2D5130"/>
          <w:sz w:val="20"/>
        </w:rPr>
        <w:t>1. Imperativo não é sinônimo de mandamento.</w:t>
      </w:r>
    </w:p>
    <w:p>
      <w:pPr>
        <w:spacing w:before="0" w:after="80" w:line="240" w:lineRule="auto"/>
        <w:jc w:val="both"/>
      </w:pPr>
      <w:r>
        <w:rPr>
          <w:rFonts w:ascii="Calibri" w:hAnsi="Calibri" w:eastAsia="Calibri"/>
          <w:b w:val="0"/>
          <w:i w:val="0"/>
          <w:sz w:val="19"/>
        </w:rPr>
        <w:t>O recorte morfológico é objetivo e reprodutível, mas deixa de fora ordens célebres: 'amarás o Senhor, teu Deus' (futuro), 'sejam perfeitos' (futuro), 'não jurem' (infinitivo), 'não se preocupem com o amanhã' (subjuntivo), 'amem-se uns aos outros' (ἵνα + subjuntivo), 'é necessário nascer de novo' (δεῖ). O complemento mitiga isso, mas quem usar só a contagem principal subestimará as categorias Deus, Amor, Humildade e Confiança.</w:t>
      </w:r>
    </w:p>
    <w:p>
      <w:pPr>
        <w:keepNext/>
        <w:spacing w:before="80" w:after="20" w:line="240" w:lineRule="auto"/>
      </w:pPr>
      <w:r>
        <w:rPr>
          <w:rFonts w:ascii="Calibri" w:hAnsi="Calibri" w:eastAsia="Calibri"/>
          <w:b/>
          <w:i w:val="0"/>
          <w:color w:val="2D5130"/>
          <w:sz w:val="20"/>
        </w:rPr>
        <w:t>2. O inverso também vale: nem todo imperativo é mandamento.</w:t>
      </w:r>
    </w:p>
    <w:p>
      <w:pPr>
        <w:spacing w:before="0" w:after="80" w:line="240" w:lineRule="auto"/>
        <w:jc w:val="both"/>
      </w:pPr>
      <w:r>
        <w:rPr>
          <w:rFonts w:ascii="Calibri" w:hAnsi="Calibri" w:eastAsia="Calibri"/>
          <w:b w:val="0"/>
          <w:i w:val="0"/>
          <w:sz w:val="19"/>
        </w:rPr>
        <w:t>Dos imperativos nas falas de Jesus, pouco mais da metade são normativos. O restante é palavra de poder ('fique limpo'), ordem de ocasião ('tragam o jumentinho'), fala de personagem de parábola ('pague o que me deve'), oração ao Pai ('passe de mim este cálice') ou sentença do Juiz ('apartem-se de mim'). O julgamento de alcance é a etapa mais sensível do método e está inteiramente documentado na planilha.</w:t>
      </w:r>
    </w:p>
    <w:p>
      <w:pPr>
        <w:keepNext/>
        <w:spacing w:before="80" w:after="20" w:line="240" w:lineRule="auto"/>
      </w:pPr>
      <w:r>
        <w:rPr>
          <w:rFonts w:ascii="Calibri" w:hAnsi="Calibri" w:eastAsia="Calibri"/>
          <w:b/>
          <w:i w:val="0"/>
          <w:color w:val="2D5130"/>
          <w:sz w:val="20"/>
        </w:rPr>
        <w:t>3. A fronteira entre 'situacional' e 'generalizável' exige juízo teológico.</w:t>
      </w:r>
    </w:p>
    <w:p>
      <w:pPr>
        <w:spacing w:before="0" w:after="80" w:line="240" w:lineRule="auto"/>
        <w:jc w:val="both"/>
      </w:pPr>
      <w:r>
        <w:rPr>
          <w:rFonts w:ascii="Calibri" w:hAnsi="Calibri" w:eastAsia="Calibri"/>
          <w:b w:val="0"/>
          <w:i w:val="0"/>
          <w:sz w:val="19"/>
        </w:rPr>
        <w:t>'Siga-me' a Mateus foi tratado como generalizável porque Jesus universaliza o chamado; 'mostre-se ao sacerdote' foi tratado como generalizável no princípio (cumprir a Lei), não na letra. Outros leitores podem decidir diferente; por isso cada decisão tem justificativa escrita e pode ser alterada em uma linha.</w:t>
      </w:r>
    </w:p>
    <w:p>
      <w:pPr>
        <w:keepNext/>
        <w:spacing w:before="80" w:after="20" w:line="240" w:lineRule="auto"/>
      </w:pPr>
      <w:r>
        <w:rPr>
          <w:rFonts w:ascii="Calibri" w:hAnsi="Calibri" w:eastAsia="Calibri"/>
          <w:b/>
          <w:i w:val="0"/>
          <w:color w:val="2D5130"/>
          <w:sz w:val="20"/>
        </w:rPr>
        <w:t>4. Os paralelos sinóticos inflam a contagem.</w:t>
      </w:r>
    </w:p>
    <w:p>
      <w:pPr>
        <w:spacing w:before="0" w:after="80" w:line="240" w:lineRule="auto"/>
        <w:jc w:val="both"/>
      </w:pPr>
      <w:r>
        <w:rPr>
          <w:rFonts w:ascii="Calibri" w:hAnsi="Calibri" w:eastAsia="Calibri"/>
          <w:b w:val="0"/>
          <w:i w:val="0"/>
          <w:sz w:val="19"/>
        </w:rPr>
        <w:t>'Negue-se a si mesmo, tome a sua cruz e siga-me' aparece em Mt, Mc e Lc e conta três vezes. O discurso escatológico (Mt 24, Mc 13, Lc 21) e o discurso de envio (Mt 10, Lc 9–10) são longos e repetidos, o que explica por que 'vigiar' e 'missão' lideram a contagem bruta. A repetição é, em parte, ênfase legítima dos evangelistas; em parte, efeito da tradição comum. A planilha permite contar por perícope se desejado.</w:t>
      </w:r>
    </w:p>
    <w:p>
      <w:pPr>
        <w:keepNext/>
        <w:spacing w:before="80" w:after="20" w:line="240" w:lineRule="auto"/>
      </w:pPr>
      <w:r>
        <w:rPr>
          <w:rFonts w:ascii="Calibri" w:hAnsi="Calibri" w:eastAsia="Calibri"/>
          <w:b/>
          <w:i w:val="0"/>
          <w:color w:val="2D5130"/>
          <w:sz w:val="20"/>
        </w:rPr>
        <w:t>5. A ordem final combina dois critérios e isso deve ficar explícito.</w:t>
      </w:r>
    </w:p>
    <w:p>
      <w:pPr>
        <w:spacing w:before="0" w:after="80" w:line="240" w:lineRule="auto"/>
        <w:jc w:val="both"/>
      </w:pPr>
      <w:r>
        <w:rPr>
          <w:rFonts w:ascii="Calibri" w:hAnsi="Calibri" w:eastAsia="Calibri"/>
          <w:b w:val="0"/>
          <w:i w:val="0"/>
          <w:sz w:val="19"/>
        </w:rPr>
        <w:t>A contagem é objetiva; a 'eminência' é um julgamento baseado em ditos explícitos de Jesus (Mt 22:37-40; Mc 1:15; Mt 6:33; Jo 6:29). Optou-se por promover apenas quatro categorias e manter todas as demais na ordem de pontuação, para limitar a subjetividade. As três ordens (bruta, pontuação, final) estão lado a lado na planilha.</w:t>
      </w:r>
    </w:p>
    <w:p>
      <w:pPr>
        <w:keepNext/>
        <w:spacing w:before="80" w:after="20" w:line="240" w:lineRule="auto"/>
      </w:pPr>
      <w:r>
        <w:rPr>
          <w:rFonts w:ascii="Calibri" w:hAnsi="Calibri" w:eastAsia="Calibri"/>
          <w:b/>
          <w:i w:val="0"/>
          <w:color w:val="2D5130"/>
          <w:sz w:val="20"/>
        </w:rPr>
        <w:t>6. As categorias se sobrepõem.</w:t>
      </w:r>
    </w:p>
    <w:p>
      <w:pPr>
        <w:spacing w:before="0" w:after="80" w:line="240" w:lineRule="auto"/>
        <w:jc w:val="both"/>
      </w:pPr>
      <w:r>
        <w:rPr>
          <w:rFonts w:ascii="Calibri" w:hAnsi="Calibri" w:eastAsia="Calibri"/>
          <w:b w:val="0"/>
          <w:i w:val="0"/>
          <w:sz w:val="19"/>
        </w:rPr>
        <w:t>'Vigiem e orem' pertence a Vigiar e a Orar; 'venda tudo, dê aos pobres e siga-me' pertence a Bens e a Seguir. Permitiu-se mais de uma categoria por versículo, o que faz a soma das categorias superar o número de versículos. Isso é intencional: perder a dupla pertença seria perder sentido.</w:t>
      </w:r>
    </w:p>
    <w:p>
      <w:pPr>
        <w:keepNext/>
        <w:spacing w:before="80" w:after="20" w:line="240" w:lineRule="auto"/>
      </w:pPr>
      <w:r>
        <w:rPr>
          <w:rFonts w:ascii="Calibri" w:hAnsi="Calibri" w:eastAsia="Calibri"/>
          <w:b/>
          <w:i w:val="0"/>
          <w:color w:val="2D5130"/>
          <w:sz w:val="20"/>
        </w:rPr>
        <w:t>7. Dependência da marcação de 'letras vermelhas' da WEB.</w:t>
      </w:r>
    </w:p>
    <w:p>
      <w:pPr>
        <w:spacing w:before="0" w:after="80" w:line="240" w:lineRule="auto"/>
        <w:jc w:val="both"/>
      </w:pPr>
      <w:r>
        <w:rPr>
          <w:rFonts w:ascii="Calibri" w:hAnsi="Calibri" w:eastAsia="Calibri"/>
          <w:b w:val="0"/>
          <w:i w:val="0"/>
          <w:sz w:val="19"/>
        </w:rPr>
        <w:t>A marcação \wj é editorial, não original. Ela foi confiável para a grande maioria, mas gerou falsos positivos ('coragem' dito pela multidão a Bartimeu, Mc 10:49; 'diga, Mestre', Lc 7:40; 'tell us', Lc 22:67; 'vem e vê', Jo 11:34), corrigidos à mão e listados em 'Excluídos'. Versículos em que a WEB não marca fala de Jesus não foram revistos; um erro de omissão ali passaria despercebido.</w:t>
      </w:r>
    </w:p>
    <w:p>
      <w:pPr>
        <w:keepNext/>
        <w:spacing w:before="80" w:after="20" w:line="240" w:lineRule="auto"/>
      </w:pPr>
      <w:r>
        <w:rPr>
          <w:rFonts w:ascii="Calibri" w:hAnsi="Calibri" w:eastAsia="Calibri"/>
          <w:b/>
          <w:i w:val="0"/>
          <w:color w:val="2D5130"/>
          <w:sz w:val="20"/>
        </w:rPr>
        <w:t>8. A ponte por números de Strong é aproximada.</w:t>
      </w:r>
    </w:p>
    <w:p>
      <w:pPr>
        <w:spacing w:before="0" w:after="80" w:line="240" w:lineRule="auto"/>
        <w:jc w:val="both"/>
      </w:pPr>
      <w:r>
        <w:rPr>
          <w:rFonts w:ascii="Calibri" w:hAnsi="Calibri" w:eastAsia="Calibri"/>
          <w:b w:val="0"/>
          <w:i w:val="0"/>
          <w:sz w:val="19"/>
        </w:rPr>
        <w:t>O cruzamento grego–inglês por Strong falhou em cerca de um quinto dos versículos mistos (lemas sem correspondência, variantes); esses casos foram revisados um a um. O método serviu bem para triagem, não substitui a leitura.</w:t>
      </w:r>
    </w:p>
    <w:p>
      <w:pPr>
        <w:keepNext/>
        <w:spacing w:before="80" w:after="20" w:line="240" w:lineRule="auto"/>
      </w:pPr>
      <w:r>
        <w:rPr>
          <w:rFonts w:ascii="Calibri" w:hAnsi="Calibri" w:eastAsia="Calibri"/>
          <w:b/>
          <w:i w:val="0"/>
          <w:color w:val="2D5130"/>
          <w:sz w:val="20"/>
        </w:rPr>
        <w:t>9. Texto crítico e passagens disputadas.</w:t>
      </w:r>
    </w:p>
    <w:p>
      <w:pPr>
        <w:spacing w:before="0" w:after="80" w:line="240" w:lineRule="auto"/>
        <w:jc w:val="both"/>
      </w:pPr>
      <w:r>
        <w:rPr>
          <w:rFonts w:ascii="Calibri" w:hAnsi="Calibri" w:eastAsia="Calibri"/>
          <w:b w:val="0"/>
          <w:i w:val="0"/>
          <w:sz w:val="19"/>
        </w:rPr>
        <w:t>O SBLGNT inclui o final longo de Marcos (16:9-20), por isso 'vão por todo o mundo e preguem' (Mc 16:15) entrou com nota de disputa; e omite a perícope da adúltera (Jo 7:53–8:11), por isso 'vá e não peque mais' ficou no complemento. Quem adota a Textus Receptus terá contagens ligeiramente diferentes.</w:t>
      </w:r>
    </w:p>
    <w:p>
      <w:pPr>
        <w:keepNext/>
        <w:spacing w:before="80" w:after="20" w:line="240" w:lineRule="auto"/>
      </w:pPr>
      <w:r>
        <w:rPr>
          <w:rFonts w:ascii="Calibri" w:hAnsi="Calibri" w:eastAsia="Calibri"/>
          <w:b/>
          <w:i w:val="0"/>
          <w:color w:val="2D5130"/>
          <w:sz w:val="20"/>
        </w:rPr>
        <w:t>10. Aspecto verbal foi registrado, não interpretado.</w:t>
      </w:r>
    </w:p>
    <w:p>
      <w:pPr>
        <w:spacing w:before="0" w:after="80" w:line="240" w:lineRule="auto"/>
        <w:jc w:val="both"/>
      </w:pPr>
      <w:r>
        <w:rPr>
          <w:rFonts w:ascii="Calibri" w:hAnsi="Calibri" w:eastAsia="Calibri"/>
          <w:b w:val="0"/>
          <w:i w:val="0"/>
          <w:sz w:val="19"/>
        </w:rPr>
        <w:t>A distinção presente/aoristo pode enriquecer a prática ('continuem pedindo' × 'arrependam-se de uma vez'), mas sua leitura pastoral exige cautela; a planilha a registra para estudo posterior, sem fazer dela critério de agrupamento.</w:t>
      </w:r>
    </w:p>
    <w:p>
      <w:pPr>
        <w:keepNext/>
        <w:spacing w:before="80" w:after="20" w:line="240" w:lineRule="auto"/>
      </w:pPr>
      <w:r>
        <w:rPr>
          <w:rFonts w:ascii="Calibri" w:hAnsi="Calibri" w:eastAsia="Calibri"/>
          <w:b/>
          <w:i w:val="0"/>
          <w:color w:val="2D5130"/>
          <w:sz w:val="20"/>
        </w:rPr>
        <w:t>11. Imperativos de 3ª pessoa.</w:t>
      </w:r>
    </w:p>
    <w:p>
      <w:pPr>
        <w:spacing w:before="0" w:after="80" w:line="240" w:lineRule="auto"/>
        <w:jc w:val="both"/>
      </w:pPr>
      <w:r>
        <w:rPr>
          <w:rFonts w:ascii="Calibri" w:hAnsi="Calibri" w:eastAsia="Calibri"/>
          <w:b w:val="0"/>
          <w:i w:val="0"/>
          <w:sz w:val="19"/>
        </w:rPr>
        <w:t>'Quem tem ouvidos, ouça', 'não se turbe o coração de vocês', 'o que Deus uniu não separe o homem' são ordens reais, embora não pareçam em português. Foram contados. Já 'venha o teu Reino' é imperativo dirigido a Deus dentro de uma oração que Jesus manda orar; contou-se como parte do mandamento de orar assim.</w:t>
      </w:r>
    </w:p>
    <w:p>
      <w:pPr>
        <w:keepNext/>
        <w:spacing w:before="80" w:after="20" w:line="240" w:lineRule="auto"/>
      </w:pPr>
      <w:r>
        <w:rPr>
          <w:rFonts w:ascii="Calibri" w:hAnsi="Calibri" w:eastAsia="Calibri"/>
          <w:b/>
          <w:i w:val="0"/>
          <w:color w:val="2D5130"/>
          <w:sz w:val="20"/>
        </w:rPr>
        <w:t>12. Os textos da NAA foram transcritos de memória.</w:t>
      </w:r>
    </w:p>
    <w:p>
      <w:pPr>
        <w:spacing w:before="0" w:after="80" w:line="240" w:lineRule="auto"/>
        <w:jc w:val="both"/>
      </w:pPr>
      <w:r>
        <w:rPr>
          <w:rFonts w:ascii="Calibri" w:hAnsi="Calibri" w:eastAsia="Calibri"/>
          <w:b w:val="0"/>
          <w:i w:val="0"/>
          <w:sz w:val="19"/>
        </w:rPr>
        <w:t>Não havia acesso a uma fonte digital licenciada da Nova Almeida Atualizada neste processo. Os versículos representativos devem ser conferidos com a edição da SBB antes de impressão definitiva. As demais passagens aparecem apenas por referência, justamente para não depender de texto transcrito.</w:t>
      </w:r>
    </w:p>
    <w:p>
      <w:pPr>
        <w:keepNext/>
        <w:spacing w:before="80" w:after="20" w:line="240" w:lineRule="auto"/>
      </w:pPr>
      <w:r>
        <w:rPr>
          <w:rFonts w:ascii="Calibri" w:hAnsi="Calibri" w:eastAsia="Calibri"/>
          <w:b/>
          <w:i w:val="0"/>
          <w:color w:val="2D5130"/>
          <w:sz w:val="20"/>
        </w:rPr>
        <w:t>13. Piper é analogia de método, não molde.</w:t>
      </w:r>
    </w:p>
    <w:p>
      <w:pPr>
        <w:spacing w:before="0" w:after="80" w:line="240" w:lineRule="auto"/>
        <w:jc w:val="both"/>
      </w:pPr>
      <w:r>
        <w:rPr>
          <w:rFonts w:ascii="Calibri" w:hAnsi="Calibri" w:eastAsia="Calibri"/>
          <w:b w:val="0"/>
          <w:i w:val="0"/>
          <w:sz w:val="19"/>
        </w:rPr>
        <w:t>As 50 demandas de Piper partem do ensino inteiro de Jesus, incluindo o que não está no imperativo. Aqui o ponto de partida é inverso: a forma gramatical. Por isso algumas demandas de Piper ('nascer de novo', 'adorar em espírito e verdade') só aparecem no complemento, e algumas categorias daqui (Comunhão, Justiça e deveres) não têm capítulo próprio em Piper.</w:t>
      </w:r>
    </w:p>
    <w:p>
      <w:pPr>
        <w:keepNext/>
        <w:spacing w:before="80" w:after="20" w:line="240" w:lineRule="auto"/>
      </w:pPr>
      <w:r>
        <w:rPr>
          <w:rFonts w:ascii="Calibri" w:hAnsi="Calibri" w:eastAsia="Calibri"/>
          <w:b/>
          <w:i w:val="0"/>
          <w:color w:val="2D5130"/>
          <w:sz w:val="20"/>
        </w:rPr>
        <w:t>14. Risco pastoral: legalismo.</w:t>
      </w:r>
    </w:p>
    <w:p>
      <w:pPr>
        <w:spacing w:before="0" w:after="80" w:line="240" w:lineRule="auto"/>
        <w:jc w:val="both"/>
      </w:pPr>
      <w:r>
        <w:rPr>
          <w:rFonts w:ascii="Calibri" w:hAnsi="Calibri" w:eastAsia="Calibri"/>
          <w:b w:val="0"/>
          <w:i w:val="0"/>
          <w:sz w:val="19"/>
        </w:rPr>
        <w:t>Um catálogo de ordens pode ser lido como lista de exigências para merecer algo. O próprio material contradiz essa leitura: a primeira ordem é 'arrependam-se e creiam', a mais repetida é 'não tenham medo', e o quadro inteiro se abre com 'eu estou com vocês todos os dias'. Recomenda-se ensinar o documento sempre a partir da graça que o precede (Mt 11:28-30).</w:t>
      </w:r>
    </w:p>
    <w:p>
      <w:pPr>
        <w:keepNext/>
        <w:spacing w:before="80" w:after="20" w:line="240" w:lineRule="auto"/>
      </w:pPr>
      <w:r>
        <w:rPr>
          <w:rFonts w:ascii="Calibri" w:hAnsi="Calibri" w:eastAsia="Calibri"/>
          <w:b/>
          <w:i w:val="0"/>
          <w:color w:val="2D5130"/>
          <w:sz w:val="20"/>
        </w:rPr>
        <w:t>15. Achado que vale registrar.</w:t>
      </w:r>
    </w:p>
    <w:p>
      <w:pPr>
        <w:spacing w:before="0" w:after="80" w:line="240" w:lineRule="auto"/>
        <w:jc w:val="both"/>
      </w:pPr>
      <w:r>
        <w:rPr>
          <w:rFonts w:ascii="Calibri" w:hAnsi="Calibri" w:eastAsia="Calibri"/>
          <w:b w:val="0"/>
          <w:i w:val="0"/>
          <w:sz w:val="19"/>
        </w:rPr>
        <w:t>Entre as 267 passagens normativas, a ordem individual mais frequente de Jesus não é ética, mas pastoral: 'não tenham medo / não andem ansiosos / tenham bom ânimo'. Isso diz algo sobre o tom com que ele comanda.</w:t>
      </w:r>
    </w:p>
    <w:p>
      <w:pPr>
        <w:keepNext/>
        <w:spacing w:before="80" w:after="20" w:line="240" w:lineRule="auto"/>
      </w:pPr>
      <w:r>
        <w:rPr>
          <w:rFonts w:ascii="Calibri" w:hAnsi="Calibri" w:eastAsia="Calibri"/>
          <w:b/>
          <w:i w:val="0"/>
          <w:color w:val="2D5130"/>
          <w:sz w:val="20"/>
        </w:rPr>
        <w:t>16. Reprodutibilidade.</w:t>
      </w:r>
    </w:p>
    <w:p>
      <w:pPr>
        <w:spacing w:before="0" w:after="80" w:line="240" w:lineRule="auto"/>
        <w:jc w:val="both"/>
      </w:pPr>
      <w:r>
        <w:rPr>
          <w:rFonts w:ascii="Calibri" w:hAnsi="Calibri" w:eastAsia="Calibri"/>
          <w:b w:val="0"/>
          <w:i w:val="0"/>
          <w:sz w:val="19"/>
        </w:rPr>
        <w:t>Todo passo automatizado está em código aberto no repositório; todo passo humano está em tabelas editáveis com justificativa. Qualquer leitor pode discordar de um julgamento, alterá-lo e regenerar os documentos em minutos.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2211" w:right="1020" w:bottom="907" w:left="1020" w:header="397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center"/>
    </w:pPr>
    <w:r>
      <w:rPr>
        <w:rFonts w:ascii="Calibri" w:hAnsi="Calibri" w:eastAsia="Calibri"/>
        <w:b w:val="0"/>
        <w:i w:val="0"/>
        <w:color w:val="595959"/>
        <w:sz w:val="15"/>
      </w:rPr>
      <w:t xml:space="preserve">Mandamentos de Jesus — Observações e Reflexões  •  v1.0  •  Página </w:t>
    </w:r>
    <w:r>
      <w:rPr>
        <w:color w:val="595959"/>
        <w:sz w:val="15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  <w:tblLayout w:type="fixed"/>
    </w:tblPr>
    <w:tblGrid>
      <w:gridCol w:w="1757"/>
      <w:gridCol w:w="8107"/>
    </w:tblGrid>
    <w:tr>
      <w:trPr>
        <w:trHeight w:val="1474" w:hRule="atLeast"/>
      </w:trPr>
      <w:tc>
        <w:tcPr>
          <w:tcW w:type="dxa" w:w="1757"/>
        </w:tcPr>
        <w:p>
          <w:pPr>
            <w:spacing w:before="0" w:after="0" w:line="240" w:lineRule="auto"/>
          </w:pPr>
          <w:r>
            <w:drawing>
              <wp:inline xmlns:a="http://schemas.openxmlformats.org/drawingml/2006/main" xmlns:pic="http://schemas.openxmlformats.org/drawingml/2006/picture">
                <wp:extent cx="769500" cy="864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69500" cy="86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8107"/>
        </w:tcPr>
        <w:p>
          <w:pPr>
            <w:spacing w:before="80" w:after="0" w:line="240" w:lineRule="auto"/>
          </w:pPr>
          <w:r>
            <w:rPr>
              <w:rFonts w:ascii="Calibri" w:hAnsi="Calibri" w:eastAsia="Calibri"/>
              <w:b/>
              <w:i w:val="0"/>
              <w:color w:val="2D5130"/>
              <w:sz w:val="22"/>
            </w:rPr>
            <w:t>SANTIDADE INTEGRAL EM CRISTO</w:t>
          </w:r>
        </w:p>
        <w:p>
          <w:pPr>
            <w:spacing w:before="0" w:after="0" w:line="240" w:lineRule="auto"/>
          </w:pPr>
          <w:r>
            <w:rPr>
              <w:rFonts w:ascii="Calibri" w:hAnsi="Calibri" w:eastAsia="Calibri"/>
              <w:b w:val="0"/>
              <w:i w:val="0"/>
              <w:color w:val="595959"/>
              <w:sz w:val="17"/>
            </w:rPr>
            <w:t>Ação Social  •  Assistência e Promoção Familiar</w:t>
          </w:r>
        </w:p>
        <w:p>
          <w:pPr>
            <w:spacing w:before="0" w:after="0" w:line="240" w:lineRule="auto"/>
          </w:pPr>
          <w:r>
            <w:rPr>
              <w:rFonts w:ascii="Calibri" w:hAnsi="Calibri" w:eastAsia="Calibri"/>
              <w:b w:val="0"/>
              <w:i w:val="0"/>
              <w:color w:val="595959"/>
              <w:sz w:val="17"/>
            </w:rPr>
            <w:t>Documento de projeto    •    Pontos de atenção sobre a metodologia</w:t>
          </w:r>
        </w:p>
      </w:tc>
    </w:tr>
  </w:tbl>
  <w:p>
    <w:pPr>
      <w:spacing w:before="0" w:after="0" w:line="240" w:lineRule="auto"/>
      <w:pBdr>
        <w:bottom w:val="single" w:sz="8" w:space="1" w:color="2D5130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