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 w:eastAsia="Calibri"/>
          <w:b/>
          <w:i w:val="0"/>
          <w:color w:val="2D5130"/>
          <w:sz w:val="32"/>
        </w:rPr>
        <w:t>POLÍTICA DE BOAS PRÁTICAS</w:t>
      </w:r>
    </w:p>
    <w:p>
      <w:pPr>
        <w:spacing w:before="0" w:after="0" w:line="240" w:lineRule="auto"/>
        <w:jc w:val="center"/>
      </w:pPr>
      <w:r>
        <w:rPr>
          <w:rFonts w:ascii="Calibri" w:hAnsi="Calibri" w:eastAsia="Calibri"/>
          <w:b w:val="0"/>
          <w:i w:val="0"/>
          <w:color w:val="595959"/>
          <w:sz w:val="20"/>
        </w:rPr>
        <w:t>Governança, Transparência e Prestação de Contas — Honra, Dignidade e Fidelidade</w:t>
      </w:r>
    </w:p>
    <w:p>
      <w:pPr>
        <w:spacing w:before="80" w:after="160" w:line="240" w:lineRule="auto"/>
        <w:jc w:val="center"/>
      </w:pPr>
      <w:r>
        <w:rPr>
          <w:rFonts w:ascii="Calibri" w:hAnsi="Calibri" w:eastAsia="Calibri"/>
          <w:b w:val="0"/>
          <w:i/>
          <w:color w:val="2D5130"/>
          <w:sz w:val="20"/>
        </w:rPr>
        <w:t xml:space="preserve">“Quem é fiel no pouco, também é fiel no muito.”  </w:t>
      </w:r>
      <w:r>
        <w:rPr>
          <w:rFonts w:ascii="Calibri" w:hAnsi="Calibri" w:eastAsia="Calibri"/>
          <w:b/>
          <w:i w:val="0"/>
          <w:color w:val="2D5130"/>
          <w:sz w:val="20"/>
        </w:rPr>
        <w:t>Lucas 16:10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1  </w:t>
      </w:r>
      <w:r>
        <w:rPr>
          <w:rFonts w:ascii="Calibri" w:hAnsi="Calibri" w:eastAsia="Calibri"/>
          <w:b/>
          <w:i w:val="0"/>
          <w:color w:val="2D5130"/>
          <w:sz w:val="22"/>
        </w:rPr>
        <w:t>FINALIDADE E ALCANCE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 w:val="0"/>
          <w:sz w:val="19"/>
        </w:rPr>
        <w:t>Esta política estabelece os princípios e as práticas que regem a captação, a guarda, a aplicação e a prestação de contas dos recursos — financeiros e em bens — confiados à Santidade Integral em Cristo para a assistência e a promoção de famílias em situação de vulnerabilidade. Aplica-se a dirigentes, conselheiros, tesoureiros, voluntários e parceiros que, em qualquer medida, manuseiem recursos ou atendam beneficiários em nome da organização.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 w:val="0"/>
          <w:sz w:val="19"/>
        </w:rPr>
        <w:t>Os recursos administrados não pertencem à diretoria: são bens de Deus, entregues por doadores em confiança, destinados aos pobres. Por isso a organização se compromete a tratá-los com mordomia, transparência e rigor superiores ao que a lei exige.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2  </w:t>
      </w:r>
      <w:r>
        <w:rPr>
          <w:rFonts w:ascii="Calibri" w:hAnsi="Calibri" w:eastAsia="Calibri"/>
          <w:b/>
          <w:i w:val="0"/>
          <w:color w:val="2D5130"/>
          <w:sz w:val="22"/>
        </w:rPr>
        <w:t>FUNDAMENTO BÍBLICO — OS TRÊS PILARES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/>
          <w:i w:val="0"/>
          <w:sz w:val="19"/>
        </w:rPr>
        <w:t xml:space="preserve">HONRA — </w:t>
      </w:r>
      <w:r>
        <w:rPr>
          <w:rFonts w:ascii="Calibri" w:hAnsi="Calibri" w:eastAsia="Calibri"/>
          <w:b w:val="0"/>
          <w:i w:val="0"/>
          <w:sz w:val="19"/>
        </w:rPr>
        <w:t>Agir corretamente diante de Deus e dos homens. A administração deve ser inatacável, prestando contas de forma aberta para que ninguém possa censurar o serviço prestado (2 Coríntios 8:20-21; Romanos 12:17; Provérbios 3:9).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/>
          <w:i w:val="0"/>
          <w:sz w:val="19"/>
        </w:rPr>
        <w:t xml:space="preserve">DIGNIDADE — </w:t>
      </w:r>
      <w:r>
        <w:rPr>
          <w:rFonts w:ascii="Calibri" w:hAnsi="Calibri" w:eastAsia="Calibri"/>
          <w:b w:val="0"/>
          <w:i w:val="0"/>
          <w:sz w:val="19"/>
        </w:rPr>
        <w:t>O pobre é imagem de Deus e irmão, não objeto de caridade. Servi-lo é servir ao próprio Cristo, com respeito, discrição e sem humilhação (Mateus 25:40; Tiago 1:27; Provérbios 14:31; Deuteronômio 15:7-8).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/>
          <w:i w:val="0"/>
          <w:sz w:val="19"/>
        </w:rPr>
        <w:t xml:space="preserve">FIDELIDADE — </w:t>
      </w:r>
      <w:r>
        <w:rPr>
          <w:rFonts w:ascii="Calibri" w:hAnsi="Calibri" w:eastAsia="Calibri"/>
          <w:b w:val="0"/>
          <w:i w:val="0"/>
          <w:sz w:val="19"/>
        </w:rPr>
        <w:t>O que se requer dos despenseiros é que sejam achados fiéis. Balanças justas, registros exatos e cuidado com o pouco para que seja confiado o muito (1 Coríntios 4:2; Lucas 16:10-12; Provérbios 11:1; Atos 6:1-4).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3  </w:t>
      </w:r>
      <w:r>
        <w:rPr>
          <w:rFonts w:ascii="Calibri" w:hAnsi="Calibri" w:eastAsia="Calibri"/>
          <w:b/>
          <w:i w:val="0"/>
          <w:color w:val="2D5130"/>
          <w:sz w:val="22"/>
        </w:rPr>
        <w:t>PRINCÍPIOS DE GOVERNANÇA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/>
          <w:i w:val="0"/>
          <w:sz w:val="19"/>
        </w:rPr>
        <w:t xml:space="preserve">Mordomia: </w:t>
      </w:r>
      <w:r>
        <w:rPr>
          <w:rFonts w:ascii="Calibri" w:hAnsi="Calibri" w:eastAsia="Calibri"/>
          <w:b w:val="0"/>
          <w:i w:val="0"/>
          <w:sz w:val="19"/>
        </w:rPr>
        <w:t>os recursos são aplicados exclusivamente na finalidade estatutária, com economicidade e sem desvio.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/>
          <w:i w:val="0"/>
          <w:sz w:val="19"/>
        </w:rPr>
        <w:t xml:space="preserve">Transparência: </w:t>
      </w:r>
      <w:r>
        <w:rPr>
          <w:rFonts w:ascii="Calibri" w:hAnsi="Calibri" w:eastAsia="Calibri"/>
          <w:b w:val="0"/>
          <w:i w:val="0"/>
          <w:sz w:val="19"/>
        </w:rPr>
        <w:t>toda movimentação é registrada, comprovada e divulgada a quem confiou os recursos.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/>
          <w:i w:val="0"/>
          <w:sz w:val="19"/>
        </w:rPr>
        <w:t xml:space="preserve">Segregação de funções: </w:t>
      </w:r>
      <w:r>
        <w:rPr>
          <w:rFonts w:ascii="Calibri" w:hAnsi="Calibri" w:eastAsia="Calibri"/>
          <w:b w:val="0"/>
          <w:i w:val="0"/>
          <w:sz w:val="19"/>
        </w:rPr>
        <w:t>quem autoriza não é quem paga; quem paga não é quem confere. Nenhuma pessoa controla sozinha o ciclo completo.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/>
          <w:i w:val="0"/>
          <w:sz w:val="19"/>
        </w:rPr>
        <w:t xml:space="preserve">Impessoalidade: </w:t>
      </w:r>
      <w:r>
        <w:rPr>
          <w:rFonts w:ascii="Calibri" w:hAnsi="Calibri" w:eastAsia="Calibri"/>
          <w:b w:val="0"/>
          <w:i w:val="0"/>
          <w:sz w:val="19"/>
        </w:rPr>
        <w:t>decisões sobre beneficiários, compras e parcerias seguem critérios objetivos, nunca preferência pessoal, parentesco ou troca de favores.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/>
          <w:i w:val="0"/>
          <w:sz w:val="19"/>
        </w:rPr>
        <w:t xml:space="preserve">Legalidade: </w:t>
      </w:r>
      <w:r>
        <w:rPr>
          <w:rFonts w:ascii="Calibri" w:hAnsi="Calibri" w:eastAsia="Calibri"/>
          <w:b w:val="0"/>
          <w:i w:val="0"/>
          <w:sz w:val="19"/>
        </w:rPr>
        <w:t>observância do Estatuto, da ITG 2002 (R1) do Conselho Federal de Contabilidade (entidades sem fins lucrativos), da Lei 13.019/2014 (MROSC) quando houver recurso público, da LGPD e da legislação tributária aplicável.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4  </w:t>
      </w:r>
      <w:r>
        <w:rPr>
          <w:rFonts w:ascii="Calibri" w:hAnsi="Calibri" w:eastAsia="Calibri"/>
          <w:b/>
          <w:i w:val="0"/>
          <w:color w:val="2D5130"/>
          <w:sz w:val="22"/>
        </w:rPr>
        <w:t>PRÁTICAS DE GESTÃO FINANCEIRA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 w:val="0"/>
          <w:i w:val="0"/>
          <w:sz w:val="19"/>
        </w:rPr>
        <w:t>Conta bancária exclusiva em nome da organização. É vedado transitar recursos da ONG em contas pessoais.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 w:val="0"/>
          <w:i w:val="0"/>
          <w:sz w:val="19"/>
        </w:rPr>
        <w:t>Princípio dos quatro olhos: todo pagamento é autorizado pelo tesoureiro e por um segundo dirigente.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 w:val="0"/>
          <w:i w:val="0"/>
          <w:sz w:val="19"/>
        </w:rPr>
        <w:t>Toda despesa possui nota fiscal ou recibo em nome da ONG, numerado e arquivado por, no mínimo, cinco anos.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 w:val="0"/>
          <w:i w:val="0"/>
          <w:sz w:val="19"/>
        </w:rPr>
        <w:t>Compras acima de R$ ________ exigem três cotações registradas; a escolha é justificada por preço e qualidade.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 w:val="0"/>
          <w:i w:val="0"/>
          <w:sz w:val="19"/>
        </w:rPr>
        <w:t>Caixa físico limitado a R$ ________ (fundo fixo), com reposição mediante prestação de contas.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 w:val="0"/>
          <w:i w:val="0"/>
          <w:sz w:val="19"/>
        </w:rPr>
        <w:t>Recursos com restrição (vinculados a projeto ou doador) são controlados separadamente e aplicados somente no plano de trabalho pactuado.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 w:val="0"/>
          <w:i w:val="0"/>
          <w:sz w:val="19"/>
        </w:rPr>
        <w:t>Dirigentes e conselheiros não recebem remuneração, distribuição de resultados, empréstimos ou qualquer vantagem.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 w:val="0"/>
          <w:i w:val="0"/>
          <w:sz w:val="19"/>
        </w:rPr>
        <w:t>Manutenção de fundo de reserva equivalente a, pelo menos, um mês de despesas finalísticas.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 w:val="0"/>
          <w:i w:val="0"/>
          <w:sz w:val="19"/>
        </w:rPr>
        <w:t>Doações em bens são registradas em ficha de estoque com entrada, saída, saldo e valor justo estimado.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5  </w:t>
      </w:r>
      <w:r>
        <w:rPr>
          <w:rFonts w:ascii="Calibri" w:hAnsi="Calibri" w:eastAsia="Calibri"/>
          <w:b/>
          <w:i w:val="0"/>
          <w:color w:val="2D5130"/>
          <w:sz w:val="22"/>
        </w:rPr>
        <w:t>PRÁTICAS NO ATENDIMENTO ÀS FAMÍLIAS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 w:val="0"/>
          <w:i w:val="0"/>
          <w:sz w:val="19"/>
        </w:rPr>
        <w:t>Inclusão mediante Anamnese Social da Família e critérios objetivos de vulnerabilidade, documentados e revisados periodicamente.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 w:val="0"/>
          <w:i w:val="0"/>
          <w:sz w:val="19"/>
        </w:rPr>
        <w:t>Sigilo absoluto sobre dados e situação das famílias (LGPD). Nenhum beneficiário é exposto em fotos, listas públicas ou redes sociais sem consentimento livre e por escrito.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 w:val="0"/>
          <w:i w:val="0"/>
          <w:sz w:val="19"/>
        </w:rPr>
        <w:t>A entrega é feita com respeito, em local e horário dignos, sem filas vexatórias, discursos constrangedores ou condicionamento da ajuda à adesão religiosa.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 w:val="0"/>
          <w:i w:val="0"/>
          <w:sz w:val="19"/>
        </w:rPr>
        <w:t>Cada família tem um Plano de Desenvolvimento Familiar com metas de autonomia; a assistência é ponte, não destino, e a saída por autonomia é celebrada.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 w:val="0"/>
          <w:i w:val="0"/>
          <w:sz w:val="19"/>
        </w:rPr>
        <w:t>Medicamentos são entregues somente mediante prescrição médica válida, com conferência de lote e validade, e orientação sobre uso; medicamentos vencidos são descartados conforme norma sanitária.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6  </w:t>
      </w:r>
      <w:r>
        <w:rPr>
          <w:rFonts w:ascii="Calibri" w:hAnsi="Calibri" w:eastAsia="Calibri"/>
          <w:b/>
          <w:i w:val="0"/>
          <w:color w:val="2D5130"/>
          <w:sz w:val="22"/>
        </w:rPr>
        <w:t>TRANSPARÊNCIA E PRESTAÇÃO DE CONTAS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/>
          <w:i w:val="0"/>
          <w:sz w:val="19"/>
        </w:rPr>
        <w:t xml:space="preserve">Mensal: </w:t>
      </w:r>
      <w:r>
        <w:rPr>
          <w:rFonts w:ascii="Calibri" w:hAnsi="Calibri" w:eastAsia="Calibri"/>
          <w:b w:val="0"/>
          <w:i w:val="0"/>
          <w:sz w:val="19"/>
        </w:rPr>
        <w:t>elaboração do relatório de execução físico-financeira com balancete conciliado, assinado pelo tesoureiro, aprovado pelo presidente e com parecer do Conselho Fiscal.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/>
          <w:i w:val="0"/>
          <w:sz w:val="19"/>
        </w:rPr>
        <w:t xml:space="preserve">Anual: </w:t>
      </w:r>
      <w:r>
        <w:rPr>
          <w:rFonts w:ascii="Calibri" w:hAnsi="Calibri" w:eastAsia="Calibri"/>
          <w:b w:val="0"/>
          <w:i w:val="0"/>
          <w:sz w:val="19"/>
        </w:rPr>
        <w:t>demonstrações contábeis (balanço patrimonial, demonstração do resultado do período, notas explicativas) apresentadas à assembleia geral, com parecer do Conselho Fiscal, até 30 de abril.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/>
          <w:i w:val="0"/>
          <w:sz w:val="19"/>
        </w:rPr>
        <w:t xml:space="preserve">Aos doadores: </w:t>
      </w:r>
      <w:r>
        <w:rPr>
          <w:rFonts w:ascii="Calibri" w:hAnsi="Calibri" w:eastAsia="Calibri"/>
          <w:b w:val="0"/>
          <w:i w:val="0"/>
          <w:sz w:val="19"/>
        </w:rPr>
        <w:t>resumo das receitas, despesas e resultados sociais enviado aos doadores e igrejas parceiras e disponível a qualquer interessado que o solicite.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/>
          <w:i w:val="0"/>
          <w:sz w:val="19"/>
        </w:rPr>
        <w:t xml:space="preserve">Canal aberto: </w:t>
      </w:r>
      <w:r>
        <w:rPr>
          <w:rFonts w:ascii="Calibri" w:hAnsi="Calibri" w:eastAsia="Calibri"/>
          <w:b w:val="0"/>
          <w:i w:val="0"/>
          <w:sz w:val="19"/>
        </w:rPr>
        <w:t>manutenção de canal direto (telefone / e-mail) para dúvidas, sugestões e denúncias, com garantia de não retaliação.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7  </w:t>
      </w:r>
      <w:r>
        <w:rPr>
          <w:rFonts w:ascii="Calibri" w:hAnsi="Calibri" w:eastAsia="Calibri"/>
          <w:b/>
          <w:i w:val="0"/>
          <w:color w:val="2D5130"/>
          <w:sz w:val="22"/>
        </w:rPr>
        <w:t>CONFLITO DE INTERESSES E CONDUTA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 w:val="0"/>
          <w:i w:val="0"/>
          <w:sz w:val="19"/>
        </w:rPr>
        <w:t>Dirigentes, conselheiros e voluntários assinam anualmente a Declaração de Conformidade e Boas Práticas e informam qualquer vínculo com fornecedores, parceiros ou beneficiários.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 w:val="0"/>
          <w:i w:val="0"/>
          <w:sz w:val="19"/>
        </w:rPr>
        <w:t>Quem tiver interesse pessoal em uma decisão se abstém de participar dela, e o fato é registrado em ata.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 w:val="0"/>
          <w:i w:val="0"/>
          <w:sz w:val="19"/>
        </w:rPr>
        <w:t>É vedado aceitar presentes, comissões ou vantagens de fornecedores e parceiros em razão da função.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 w:val="0"/>
          <w:i w:val="0"/>
          <w:sz w:val="19"/>
        </w:rPr>
        <w:t>O nome, a logomarca e os recursos da organização não são usados para fins particulares, políticos ou comerciais.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8  </w:t>
      </w:r>
      <w:r>
        <w:rPr>
          <w:rFonts w:ascii="Calibri" w:hAnsi="Calibri" w:eastAsia="Calibri"/>
          <w:b/>
          <w:i w:val="0"/>
          <w:color w:val="2D5130"/>
          <w:sz w:val="22"/>
        </w:rPr>
        <w:t>VIGÊNCIA, REVISÃO E APROVAÇÃO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 w:val="0"/>
          <w:sz w:val="19"/>
        </w:rPr>
        <w:t>Esta política entra em vigor na data de sua aprovação pela diretoria, é revisada ao menos a cada dois anos e integra os anexos obrigatórios da prestação de contas anual. Casos omissos são resolvidos pela diretoria, ouvido o Conselho Fiscal, sempre à luz dos princípios do item 2.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40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9"/>
              </w:rPr>
              <w:t>__________________________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7"/>
              </w:rPr>
              <w:t>Presidente</w:t>
            </w:r>
          </w:p>
        </w:tc>
        <w:tc>
          <w:tcPr>
            <w:tcW w:type="dxa" w:w="3288"/>
          </w:tcPr>
          <w:p>
            <w:pPr>
              <w:spacing w:before="40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9"/>
              </w:rPr>
              <w:t>__________________________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7"/>
              </w:rPr>
              <w:t>Tesoureiro(a)</w:t>
            </w:r>
          </w:p>
        </w:tc>
        <w:tc>
          <w:tcPr>
            <w:tcW w:type="dxa" w:w="3288"/>
          </w:tcPr>
          <w:p>
            <w:pPr>
              <w:spacing w:before="40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9"/>
              </w:rPr>
              <w:t>__________________________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7"/>
              </w:rPr>
              <w:t>Conselho Fiscal</w:t>
            </w:r>
          </w:p>
        </w:tc>
      </w:tr>
    </w:tbl>
    <w:p>
      <w:pPr>
        <w:spacing w:before="160" w:after="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Local e data: </w:t>
      </w:r>
      <w:r>
        <w:rPr>
          <w:rFonts w:ascii="Calibri" w:hAnsi="Calibri" w:eastAsia="Calibri"/>
          <w:b w:val="0"/>
          <w:i w:val="0"/>
          <w:color w:val="595959"/>
          <w:sz w:val="18"/>
        </w:rPr>
        <w:t>____________________________________________________________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211" w:right="1020" w:bottom="907" w:left="1020" w:header="397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/>
        <w:b w:val="0"/>
        <w:i w:val="0"/>
        <w:color w:val="595959"/>
        <w:sz w:val="15"/>
      </w:rPr>
      <w:t xml:space="preserve">Política de Boas Práticas de Governança e Prestação de Contas  •  v1.0  •  Página </w:t>
    </w:r>
    <w:r>
      <w:rPr>
        <w:color w:val="595959"/>
        <w:sz w:val="15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  <w:tblLayout w:type="fixed"/>
    </w:tblPr>
    <w:tblGrid>
      <w:gridCol w:w="1757"/>
      <w:gridCol w:w="8107"/>
    </w:tblGrid>
    <w:tr>
      <w:trPr>
        <w:trHeight w:val="1474" w:hRule="atLeast"/>
      </w:trPr>
      <w:tc>
        <w:tcPr>
          <w:tcW w:type="dxa" w:w="1757"/>
        </w:tcPr>
        <w:p>
          <w:pPr>
            <w:spacing w:before="0" w:after="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769500" cy="86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9500" cy="86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107"/>
        </w:tcPr>
        <w:p>
          <w:pPr>
            <w:spacing w:before="80" w:after="0" w:line="240" w:lineRule="auto"/>
          </w:pPr>
          <w:r>
            <w:rPr>
              <w:rFonts w:ascii="Calibri" w:hAnsi="Calibri" w:eastAsia="Calibri"/>
              <w:b/>
              <w:i w:val="0"/>
              <w:color w:val="2D5130"/>
              <w:sz w:val="22"/>
            </w:rPr>
            <w:t>SANTIDADE INTEGRAL EM CRISTO</w:t>
          </w:r>
        </w:p>
        <w:p>
          <w:pPr>
            <w:spacing w:before="0" w:after="0" w:line="240" w:lineRule="auto"/>
          </w:pPr>
          <w:r>
            <w:rPr>
              <w:rFonts w:ascii="Calibri" w:hAnsi="Calibri" w:eastAsia="Calibri"/>
              <w:b w:val="0"/>
              <w:i w:val="0"/>
              <w:color w:val="595959"/>
              <w:sz w:val="17"/>
            </w:rPr>
            <w:t>Ação Social  •  Assistência e Promoção Familiar</w:t>
          </w:r>
        </w:p>
        <w:p>
          <w:pPr>
            <w:spacing w:before="0" w:after="0" w:line="240" w:lineRule="auto"/>
          </w:pPr>
          <w:r>
            <w:rPr>
              <w:rFonts w:ascii="Calibri" w:hAnsi="Calibri" w:eastAsia="Calibri"/>
              <w:b w:val="0"/>
              <w:i w:val="0"/>
              <w:color w:val="595959"/>
              <w:sz w:val="17"/>
            </w:rPr>
            <w:t>Documento normativo interno    •    Aprovado em: ____/____/______    •    Revisão: ______</w:t>
          </w:r>
        </w:p>
      </w:tc>
    </w:tr>
  </w:tbl>
  <w:p>
    <w:pPr>
      <w:spacing w:before="0" w:after="0" w:line="240" w:lineRule="auto"/>
      <w:pBdr>
        <w:bottom w:val="single" w:sz="8" w:space="1" w:color="2D513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