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Calibri" w:hAnsi="Calibri" w:eastAsia="Calibri"/>
          <w:b/>
          <w:i w:val="0"/>
          <w:color w:val="2D5130"/>
          <w:sz w:val="32"/>
        </w:rPr>
        <w:t>DECLARAÇÃO DE CONFORMIDADE E BOAS PRÁTICAS</w:t>
      </w:r>
    </w:p>
    <w:p>
      <w:pPr>
        <w:spacing w:before="0" w:after="0" w:line="240" w:lineRule="auto"/>
        <w:jc w:val="center"/>
      </w:pPr>
      <w:r>
        <w:rPr>
          <w:rFonts w:ascii="Calibri" w:hAnsi="Calibri" w:eastAsia="Calibri"/>
          <w:b w:val="0"/>
          <w:i w:val="0"/>
          <w:color w:val="595959"/>
          <w:sz w:val="20"/>
        </w:rPr>
        <w:t>Atestado de aplicação da Política de Boas Práticas — Honra, Dignidade e Fidelidade</w:t>
      </w:r>
    </w:p>
    <w:p>
      <w:pPr>
        <w:spacing w:before="80" w:after="120" w:line="240" w:lineRule="auto"/>
        <w:jc w:val="center"/>
      </w:pPr>
      <w:r>
        <w:rPr>
          <w:rFonts w:ascii="Calibri" w:hAnsi="Calibri" w:eastAsia="Calibri"/>
          <w:b w:val="0"/>
          <w:i/>
          <w:color w:val="2D5130"/>
          <w:sz w:val="20"/>
        </w:rPr>
        <w:t xml:space="preserve">“O que se requer dos despenseiros é que cada um seja encontrado fiel.”  </w:t>
      </w:r>
      <w:r>
        <w:rPr>
          <w:rFonts w:ascii="Calibri" w:hAnsi="Calibri" w:eastAsia="Calibri"/>
          <w:b/>
          <w:i w:val="0"/>
          <w:color w:val="2D5130"/>
          <w:sz w:val="20"/>
        </w:rPr>
        <w:t>1 Coríntios 4:2</w:t>
      </w:r>
    </w:p>
    <w:p>
      <w:pPr>
        <w:spacing w:before="0" w:after="80" w:line="240" w:lineRule="auto"/>
        <w:jc w:val="both"/>
      </w:pPr>
      <w:r>
        <w:rPr>
          <w:rFonts w:ascii="Calibri" w:hAnsi="Calibri" w:eastAsia="Calibri"/>
          <w:b w:val="0"/>
          <w:i w:val="0"/>
          <w:sz w:val="19"/>
        </w:rPr>
        <w:t>Nós, abaixo assinados, dirigentes e responsáveis pela gestão da Santidade Integral em Cristo, declaramos, sob compromisso de honra diante de Deus e dos homens, que no período de referência indicado acima a organização observou as práticas a seguir, conforme a Política de Boas Práticas de Governança e Prestação de Contas em vigor: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B8A6"/>
          <w:left w:val="single" w:sz="4" w:space="0" w:color="A6B8A6"/>
          <w:bottom w:val="single" w:sz="4" w:space="0" w:color="A6B8A6"/>
          <w:right w:val="single" w:sz="4" w:space="0" w:color="A6B8A6"/>
          <w:insideH w:val="single" w:sz="4" w:space="0" w:color="A6B8A6"/>
          <w:insideV w:val="single" w:sz="4" w:space="0" w:color="A6B8A6"/>
        </w:tblBorders>
        <w:tblCellMar>
          <w:top w:w="20" w:type="dxa"/>
          <w:left w:w="80" w:type="dxa"/>
          <w:bottom w:w="20" w:type="dxa"/>
          <w:right w:w="80" w:type="dxa"/>
        </w:tblCellMar>
        <w:tblLayout w:type="fixed"/>
      </w:tblPr>
      <w:tblGrid>
        <w:gridCol w:w="7370"/>
        <w:gridCol w:w="822"/>
        <w:gridCol w:w="822"/>
        <w:gridCol w:w="850"/>
      </w:tblGrid>
      <w:tr>
        <w:tc>
          <w:tcPr>
            <w:tcW w:type="dxa" w:w="7370"/>
            <w:shd w:val="clear" w:color="auto" w:fill="2D513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Prática</w:t>
            </w:r>
          </w:p>
        </w:tc>
        <w:tc>
          <w:tcPr>
            <w:tcW w:type="dxa" w:w="822"/>
            <w:shd w:val="clear" w:color="auto" w:fill="2D513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Sim</w:t>
            </w:r>
          </w:p>
        </w:tc>
        <w:tc>
          <w:tcPr>
            <w:tcW w:type="dxa" w:w="822"/>
            <w:shd w:val="clear" w:color="auto" w:fill="2D513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Não</w:t>
            </w:r>
          </w:p>
        </w:tc>
        <w:tc>
          <w:tcPr>
            <w:tcW w:type="dxa" w:w="850"/>
            <w:shd w:val="clear" w:color="auto" w:fill="2D513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17"/>
              </w:rPr>
              <w:t>N/A</w:t>
            </w:r>
          </w:p>
        </w:tc>
      </w:tr>
      <w:tr>
        <w:tc>
          <w:tcPr>
            <w:tcW w:type="dxa" w:w="7370"/>
            <w:shd w:val="clear" w:color="auto" w:fill="E8EFE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HONRA — agir corretamente diante de Deus e dos homens</w:t>
            </w:r>
          </w:p>
        </w:tc>
        <w:tc>
          <w:tcPr>
            <w:tcW w:type="dxa" w:w="822"/>
            <w:shd w:val="clear" w:color="auto" w:fill="E8EFE8"/>
          </w:tcPr>
          <w:p>
            <w:pPr>
              <w:spacing w:before="0" w:after="0" w:line="240" w:lineRule="auto"/>
            </w:pPr>
          </w:p>
        </w:tc>
        <w:tc>
          <w:tcPr>
            <w:tcW w:type="dxa" w:w="822"/>
            <w:shd w:val="clear" w:color="auto" w:fill="E8EFE8"/>
          </w:tcPr>
          <w:p>
            <w:pPr>
              <w:spacing w:before="0" w:after="0" w:line="240" w:lineRule="auto"/>
            </w:pPr>
          </w:p>
        </w:tc>
        <w:tc>
          <w:tcPr>
            <w:tcW w:type="dxa" w:w="850"/>
            <w:shd w:val="clear" w:color="auto" w:fill="E8EFE8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737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As contas do período foram apresentadas com balancete conciliado, comprovantes arquivados e parecer do Conselho Fiscal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</w:tr>
      <w:tr>
        <w:tc>
          <w:tcPr>
            <w:tcW w:type="dxa" w:w="737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Os resultados financeiros e sociais foram comunicados aos doadores, igrejas parceiras e assembleia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</w:tr>
      <w:tr>
        <w:tc>
          <w:tcPr>
            <w:tcW w:type="dxa" w:w="737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Nenhuma informação foi omitida, alterada ou apresentada de forma a induzir doadores ou parceiros a erro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</w:tr>
      <w:tr>
        <w:tc>
          <w:tcPr>
            <w:tcW w:type="dxa" w:w="737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O nome e a logomarca da organização foram usados apenas para os fins estatutários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</w:tr>
      <w:tr>
        <w:tc>
          <w:tcPr>
            <w:tcW w:type="dxa" w:w="7370"/>
            <w:shd w:val="clear" w:color="auto" w:fill="E8EFE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DIGNIDADE — o pobre como imagem de Deus e irmão</w:t>
            </w:r>
          </w:p>
        </w:tc>
        <w:tc>
          <w:tcPr>
            <w:tcW w:type="dxa" w:w="822"/>
            <w:shd w:val="clear" w:color="auto" w:fill="E8EFE8"/>
          </w:tcPr>
          <w:p>
            <w:pPr>
              <w:spacing w:before="0" w:after="0" w:line="240" w:lineRule="auto"/>
            </w:pPr>
          </w:p>
        </w:tc>
        <w:tc>
          <w:tcPr>
            <w:tcW w:type="dxa" w:w="822"/>
            <w:shd w:val="clear" w:color="auto" w:fill="E8EFE8"/>
          </w:tcPr>
          <w:p>
            <w:pPr>
              <w:spacing w:before="0" w:after="0" w:line="240" w:lineRule="auto"/>
            </w:pPr>
          </w:p>
        </w:tc>
        <w:tc>
          <w:tcPr>
            <w:tcW w:type="dxa" w:w="850"/>
            <w:shd w:val="clear" w:color="auto" w:fill="E8EFE8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737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As famílias foram incluídas por critérios objetivos (anamnese social), sem favorecimento pessoal ou parentesco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</w:tr>
      <w:tr>
        <w:tc>
          <w:tcPr>
            <w:tcW w:type="dxa" w:w="737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As entregas ocorreram com respeito e discrição, sem exposição, filas vexatórias ou condicionamento religioso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</w:tr>
      <w:tr>
        <w:tc>
          <w:tcPr>
            <w:tcW w:type="dxa" w:w="737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Os dados das famílias foram mantidos em sigilo (LGPD); nenhuma imagem foi divulgada sem consentimento escrito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</w:tr>
      <w:tr>
        <w:tc>
          <w:tcPr>
            <w:tcW w:type="dxa" w:w="737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Cada família acompanhada possui plano de desenvolvimento com metas de autonomia revisadas no período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</w:tr>
      <w:tr>
        <w:tc>
          <w:tcPr>
            <w:tcW w:type="dxa" w:w="737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Medicamentos foram entregues somente com prescrição válida, com conferência de lote e validade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</w:tr>
      <w:tr>
        <w:tc>
          <w:tcPr>
            <w:tcW w:type="dxa" w:w="7370"/>
            <w:shd w:val="clear" w:color="auto" w:fill="E8EFE8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i w:val="0"/>
                <w:color w:val="2D5130"/>
                <w:sz w:val="17"/>
              </w:rPr>
              <w:t>FIDELIDADE — despenseiros achados fiéis</w:t>
            </w:r>
          </w:p>
        </w:tc>
        <w:tc>
          <w:tcPr>
            <w:tcW w:type="dxa" w:w="822"/>
            <w:shd w:val="clear" w:color="auto" w:fill="E8EFE8"/>
          </w:tcPr>
          <w:p>
            <w:pPr>
              <w:spacing w:before="0" w:after="0" w:line="240" w:lineRule="auto"/>
            </w:pPr>
          </w:p>
        </w:tc>
        <w:tc>
          <w:tcPr>
            <w:tcW w:type="dxa" w:w="822"/>
            <w:shd w:val="clear" w:color="auto" w:fill="E8EFE8"/>
          </w:tcPr>
          <w:p>
            <w:pPr>
              <w:spacing w:before="0" w:after="0" w:line="240" w:lineRule="auto"/>
            </w:pPr>
          </w:p>
        </w:tc>
        <w:tc>
          <w:tcPr>
            <w:tcW w:type="dxa" w:w="850"/>
            <w:shd w:val="clear" w:color="auto" w:fill="E8EFE8"/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737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Todos os recursos transitaram pela conta bancária exclusiva da organização; nada passou por contas pessoais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</w:tr>
      <w:tr>
        <w:tc>
          <w:tcPr>
            <w:tcW w:type="dxa" w:w="737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Todo pagamento foi autorizado por duas pessoas e está lastreado em nota fiscal ou recibo em nome da ONG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</w:tr>
      <w:tr>
        <w:tc>
          <w:tcPr>
            <w:tcW w:type="dxa" w:w="737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As compras acima do limite da política tiveram três cotações registradas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</w:tr>
      <w:tr>
        <w:tc>
          <w:tcPr>
            <w:tcW w:type="dxa" w:w="737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Os recursos com restrição foram aplicados exclusivamente no plano de trabalho pactuado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</w:tr>
      <w:tr>
        <w:tc>
          <w:tcPr>
            <w:tcW w:type="dxa" w:w="737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Nenhum dirigente, conselheiro ou voluntário foi remunerado, beneficiado ou teve conflito de interesse não declarado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</w:tr>
      <w:tr>
        <w:tc>
          <w:tcPr>
            <w:tcW w:type="dxa" w:w="7370"/>
          </w:tcPr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 w:val="0"/>
                <w:i w:val="0"/>
                <w:sz w:val="17"/>
              </w:rPr>
              <w:t>O estoque de cestas e medicamentos foi conferido fisicamente e confere com as fichas de controle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22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  <w:tc>
          <w:tcPr>
            <w:tcW w:type="dxa" w:w="850"/>
          </w:tcPr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sz w:val="19"/>
              </w:rPr>
              <w:t>☐</w:t>
            </w:r>
          </w:p>
        </w:tc>
      </w:tr>
    </w:tbl>
    <w:p>
      <w:pPr>
        <w:spacing w:after="20"/>
      </w:pPr>
    </w:p>
    <w:p>
      <w:pPr>
        <w:spacing w:before="80" w:after="4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Ressalvas, exceções e providências adotadas </w:t>
      </w:r>
      <w:r>
        <w:rPr>
          <w:rFonts w:ascii="Calibri" w:hAnsi="Calibri" w:eastAsia="Calibri"/>
          <w:b w:val="0"/>
          <w:i w:val="0"/>
          <w:color w:val="595959"/>
          <w:sz w:val="18"/>
        </w:rPr>
        <w:t>(obrigatório para cada item marcado “Não”):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before="180" w:after="0" w:line="240" w:lineRule="auto"/>
        <w:pBdr>
          <w:bottom w:val="single" w:sz="4" w:space="1" w:color="9A9A9A"/>
        </w:pBdr>
      </w:pPr>
      <w:r>
        <w:rPr>
          <w:rFonts w:ascii="Calibri" w:hAnsi="Calibri" w:eastAsia="Calibri"/>
          <w:b w:val="0"/>
          <w:i w:val="0"/>
          <w:sz w:val="18"/>
        </w:rPr>
        <w:t xml:space="preserve"> </w:t>
      </w:r>
    </w:p>
    <w:p>
      <w:pPr>
        <w:spacing w:after="20"/>
      </w:pPr>
    </w:p>
    <w:p>
      <w:pPr>
        <w:spacing w:before="0" w:after="80" w:line="240" w:lineRule="auto"/>
        <w:jc w:val="both"/>
      </w:pPr>
      <w:r>
        <w:rPr>
          <w:rFonts w:ascii="Calibri" w:hAnsi="Calibri" w:eastAsia="Calibri"/>
          <w:b w:val="0"/>
          <w:i w:val="0"/>
          <w:sz w:val="18"/>
        </w:rPr>
        <w:t>Declaramos ainda estar cientes de que a inexatidão desta declaração sujeita os signatários às responsabilidades estatutárias, civis e penais cabíveis, e de que o Conselho Fiscal e qualquer doador poderão verificar, a qualquer tempo, os documentos que a fundamentam.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36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9"/>
              </w:rPr>
              <w:t>__________________________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7"/>
              </w:rPr>
              <w:t>Presidente</w:t>
            </w:r>
          </w:p>
        </w:tc>
        <w:tc>
          <w:tcPr>
            <w:tcW w:type="dxa" w:w="3288"/>
          </w:tcPr>
          <w:p>
            <w:pPr>
              <w:spacing w:before="36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9"/>
              </w:rPr>
              <w:t>__________________________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7"/>
              </w:rPr>
              <w:t>Tesoureiro(a)</w:t>
            </w:r>
          </w:p>
        </w:tc>
        <w:tc>
          <w:tcPr>
            <w:tcW w:type="dxa" w:w="3288"/>
          </w:tcPr>
          <w:p>
            <w:pPr>
              <w:spacing w:before="36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9"/>
              </w:rPr>
              <w:t>__________________________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Calibri" w:hAnsi="Calibri" w:eastAsia="Calibri"/>
                <w:b w:val="0"/>
                <w:i w:val="0"/>
                <w:color w:val="595959"/>
                <w:sz w:val="17"/>
              </w:rPr>
              <w:t>Conselho Fiscal</w:t>
            </w:r>
          </w:p>
        </w:tc>
      </w:tr>
    </w:tbl>
    <w:p>
      <w:pPr>
        <w:spacing w:before="160" w:after="0" w:line="240" w:lineRule="auto"/>
      </w:pPr>
      <w:r>
        <w:rPr>
          <w:rFonts w:ascii="Calibri" w:hAnsi="Calibri" w:eastAsia="Calibri"/>
          <w:b/>
          <w:i w:val="0"/>
          <w:sz w:val="18"/>
        </w:rPr>
        <w:t xml:space="preserve">Local e data: </w:t>
      </w:r>
      <w:r>
        <w:rPr>
          <w:rFonts w:ascii="Calibri" w:hAnsi="Calibri" w:eastAsia="Calibri"/>
          <w:b w:val="0"/>
          <w:i w:val="0"/>
          <w:color w:val="595959"/>
          <w:sz w:val="18"/>
        </w:rPr>
        <w:t>____________________________________________________________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2211" w:right="1020" w:bottom="907" w:left="1020" w:header="397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Calibri" w:hAnsi="Calibri" w:eastAsia="Calibri"/>
        <w:b w:val="0"/>
        <w:i w:val="0"/>
        <w:color w:val="595959"/>
        <w:sz w:val="15"/>
      </w:rPr>
      <w:t xml:space="preserve">Declaração de Conformidade e Boas Práticas  •  v1.0  •  Página </w:t>
    </w:r>
    <w:r>
      <w:rPr>
        <w:color w:val="595959"/>
        <w:sz w:val="15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  <w:tblLayout w:type="fixed"/>
    </w:tblPr>
    <w:tblGrid>
      <w:gridCol w:w="1757"/>
      <w:gridCol w:w="8107"/>
    </w:tblGrid>
    <w:tr>
      <w:trPr>
        <w:trHeight w:val="1474" w:hRule="atLeast"/>
      </w:trPr>
      <w:tc>
        <w:tcPr>
          <w:tcW w:type="dxa" w:w="1757"/>
        </w:tcPr>
        <w:p>
          <w:pPr>
            <w:spacing w:before="0" w:after="0" w:line="240" w:lineRule="auto"/>
          </w:pPr>
          <w:r>
            <w:drawing>
              <wp:inline xmlns:a="http://schemas.openxmlformats.org/drawingml/2006/main" xmlns:pic="http://schemas.openxmlformats.org/drawingml/2006/picture">
                <wp:extent cx="769500" cy="86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9500" cy="86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107"/>
        </w:tcPr>
        <w:p>
          <w:pPr>
            <w:spacing w:before="80" w:after="0" w:line="240" w:lineRule="auto"/>
          </w:pPr>
          <w:r>
            <w:rPr>
              <w:rFonts w:ascii="Calibri" w:hAnsi="Calibri" w:eastAsia="Calibri"/>
              <w:b/>
              <w:i w:val="0"/>
              <w:color w:val="2D5130"/>
              <w:sz w:val="22"/>
            </w:rPr>
            <w:t>SANTIDADE INTEGRAL EM CRISTO</w:t>
          </w:r>
        </w:p>
        <w:p>
          <w:pPr>
            <w:spacing w:before="0" w:after="0" w:line="240" w:lineRule="auto"/>
          </w:pPr>
          <w:r>
            <w:rPr>
              <w:rFonts w:ascii="Calibri" w:hAnsi="Calibri" w:eastAsia="Calibri"/>
              <w:b w:val="0"/>
              <w:i w:val="0"/>
              <w:color w:val="595959"/>
              <w:sz w:val="17"/>
            </w:rPr>
            <w:t>Ação Social  •  Assistência e Promoção Familiar</w:t>
          </w:r>
        </w:p>
        <w:p>
          <w:pPr>
            <w:spacing w:before="0" w:after="0" w:line="240" w:lineRule="auto"/>
          </w:pPr>
          <w:r>
            <w:rPr>
              <w:rFonts w:ascii="Calibri" w:hAnsi="Calibri" w:eastAsia="Calibri"/>
              <w:b w:val="0"/>
              <w:i w:val="0"/>
              <w:color w:val="595959"/>
              <w:sz w:val="17"/>
            </w:rPr>
            <w:t>Anexo à prestação de contas    •    Período de referência: ____________________</w:t>
          </w:r>
        </w:p>
      </w:tc>
    </w:tr>
  </w:tbl>
  <w:p>
    <w:pPr>
      <w:spacing w:before="0" w:after="0" w:line="240" w:lineRule="auto"/>
      <w:pBdr>
        <w:bottom w:val="single" w:sz="8" w:space="1" w:color="2D5130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