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POLÍTICA DE BOAS PRÁTICAS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Governança, Transparência e Prestação de Contas — Honra, Dignidade e Fidelidade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“Quem é fiel no pouco, também é fiel no muito.”  </w:t>
      </w:r>
      <w:r>
        <w:rPr>
          <w:rFonts w:ascii="Calibri" w:hAnsi="Calibri" w:eastAsia="Calibri"/>
          <w:b/>
          <w:i w:val="0"/>
          <w:color w:val="2D5130"/>
          <w:sz w:val="20"/>
        </w:rPr>
        <w:t>Lucas 16:10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  </w:t>
      </w:r>
      <w:r>
        <w:rPr>
          <w:rFonts w:ascii="Calibri" w:hAnsi="Calibri" w:eastAsia="Calibri"/>
          <w:b/>
          <w:i w:val="0"/>
          <w:color w:val="2D5130"/>
          <w:sz w:val="22"/>
        </w:rPr>
        <w:t>FINALIDADE E ALCANCE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Esta política estabelece os princípios e as práticas que regem a captação, a guarda, a aplicação e a prestação de contas dos recursos — financeiros e em bens — confiados à Santidade Integral em Cristo para a assistência e a promoção de famílias em situação de vulnerabilidade. Aplica-se a dirigentes, conselheiros, tesoureiros, voluntários e parceiros que, em qualquer medida, manuseiem recursos ou atendam beneficiários em nome da organização.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Os recursos administrados não pertencem à diretoria: são bens de Deus, entregues por doadores em confiança, destinados aos pobres. Por isso a organização se compromete a tratá-los com mordomia, transparência e rigor superiores ao que a lei exige.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2  </w:t>
      </w:r>
      <w:r>
        <w:rPr>
          <w:rFonts w:ascii="Calibri" w:hAnsi="Calibri" w:eastAsia="Calibri"/>
          <w:b/>
          <w:i w:val="0"/>
          <w:color w:val="2D5130"/>
          <w:sz w:val="22"/>
        </w:rPr>
        <w:t>FUNDAMENTO BÍBLICO — OS TRÊS PILARES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HONRA — </w:t>
      </w:r>
      <w:r>
        <w:rPr>
          <w:rFonts w:ascii="Calibri" w:hAnsi="Calibri" w:eastAsia="Calibri"/>
          <w:b w:val="0"/>
          <w:i w:val="0"/>
          <w:sz w:val="19"/>
        </w:rPr>
        <w:t>Agir corretamente diante de Deus e dos homens. A administração deve ser inatacável, prestando contas de forma aberta para que ninguém possa censurar o serviço prestado (2 Coríntios 8:20-21; Romanos 12:17; Provérbios 3:9).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DIGNIDADE — </w:t>
      </w:r>
      <w:r>
        <w:rPr>
          <w:rFonts w:ascii="Calibri" w:hAnsi="Calibri" w:eastAsia="Calibri"/>
          <w:b w:val="0"/>
          <w:i w:val="0"/>
          <w:sz w:val="19"/>
        </w:rPr>
        <w:t>O pobre é imagem de Deus e irmão, não objeto de caridade. Servi-lo é servir ao próprio Cristo, com respeito, discrição e sem humilhação (Mateus 25:40; Tiago 1:27; Provérbios 14:31; Deuteronômio 15:7-8).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FIDELIDADE — </w:t>
      </w:r>
      <w:r>
        <w:rPr>
          <w:rFonts w:ascii="Calibri" w:hAnsi="Calibri" w:eastAsia="Calibri"/>
          <w:b w:val="0"/>
          <w:i w:val="0"/>
          <w:sz w:val="19"/>
        </w:rPr>
        <w:t>O que se requer dos despenseiros é que sejam achados fiéis. Balanças justas, registros exatos e cuidado com o pouco para que seja confiado o muito (1 Coríntios 4:2; Lucas 16:10-12; Provérbios 11:1; Atos 6:1-4).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3  </w:t>
      </w:r>
      <w:r>
        <w:rPr>
          <w:rFonts w:ascii="Calibri" w:hAnsi="Calibri" w:eastAsia="Calibri"/>
          <w:b/>
          <w:i w:val="0"/>
          <w:color w:val="2D5130"/>
          <w:sz w:val="22"/>
        </w:rPr>
        <w:t>PRINCÍPIOS DE GOVERNANÇA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Mordomia: </w:t>
      </w:r>
      <w:r>
        <w:rPr>
          <w:rFonts w:ascii="Calibri" w:hAnsi="Calibri" w:eastAsia="Calibri"/>
          <w:b w:val="0"/>
          <w:i w:val="0"/>
          <w:sz w:val="19"/>
        </w:rPr>
        <w:t>os recursos são aplicados exclusivamente na finalidade estatutária, com economicidade e sem desvio.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Transparência: </w:t>
      </w:r>
      <w:r>
        <w:rPr>
          <w:rFonts w:ascii="Calibri" w:hAnsi="Calibri" w:eastAsia="Calibri"/>
          <w:b w:val="0"/>
          <w:i w:val="0"/>
          <w:sz w:val="19"/>
        </w:rPr>
        <w:t>toda movimentação é registrada, comprovada e divulgada a quem confiou os recursos.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Segregação de funções: </w:t>
      </w:r>
      <w:r>
        <w:rPr>
          <w:rFonts w:ascii="Calibri" w:hAnsi="Calibri" w:eastAsia="Calibri"/>
          <w:b w:val="0"/>
          <w:i w:val="0"/>
          <w:sz w:val="19"/>
        </w:rPr>
        <w:t>quem autoriza não é quem paga; quem paga não é quem confere. Nenhuma pessoa controla sozinha o ciclo completo.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Impessoalidade: </w:t>
      </w:r>
      <w:r>
        <w:rPr>
          <w:rFonts w:ascii="Calibri" w:hAnsi="Calibri" w:eastAsia="Calibri"/>
          <w:b w:val="0"/>
          <w:i w:val="0"/>
          <w:sz w:val="19"/>
        </w:rPr>
        <w:t>decisões sobre beneficiários, compras e parcerias seguem critérios objetivos, nunca preferência pessoal, parentesco ou troca de favores.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Legalidade: </w:t>
      </w:r>
      <w:r>
        <w:rPr>
          <w:rFonts w:ascii="Calibri" w:hAnsi="Calibri" w:eastAsia="Calibri"/>
          <w:b w:val="0"/>
          <w:i w:val="0"/>
          <w:sz w:val="19"/>
        </w:rPr>
        <w:t>observância do Estatuto, da ITG 2002 (R1) do Conselho Federal de Contabilidade (entidades sem fins lucrativos), da Lei 13.019/2014 (MROSC) quando houver recurso público, da LGPD e da legislação tributária aplicável.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4  </w:t>
      </w:r>
      <w:r>
        <w:rPr>
          <w:rFonts w:ascii="Calibri" w:hAnsi="Calibri" w:eastAsia="Calibri"/>
          <w:b/>
          <w:i w:val="0"/>
          <w:color w:val="2D5130"/>
          <w:sz w:val="22"/>
        </w:rPr>
        <w:t>PRÁTICAS DE GESTÃO FINANCEIRA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Conta bancária exclusiva em nome da organização. É vedado transitar recursos da ONG em contas pessoais.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Princípio dos quatro olhos: todo pagamento é autorizado pelo tesoureiro e por um segundo dirigente.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Toda despesa possui nota fiscal ou recibo em nome da ONG, numerado e arquivado por, no mínimo, cinco anos.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Compras acima de R$ ________ exigem três cotações registradas; a escolha é justificada por preço e qualidade.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Caixa físico limitado a R$ ________ (fundo fixo), com reposição mediante prestação de contas.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Recursos com restrição (vinculados a projeto ou doador) são controlados separadamente e aplicados somente no plano de trabalho pactuado.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Dirigentes e conselheiros não recebem remuneração, distribuição de resultados, empréstimos ou qualquer vantagem.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Manutenção de fundo de reserva equivalente a, pelo menos, um mês de despesas finalísticas.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Doações em bens são registradas em ficha de estoque com entrada, saída, saldo e valor justo estimado.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5  </w:t>
      </w:r>
      <w:r>
        <w:rPr>
          <w:rFonts w:ascii="Calibri" w:hAnsi="Calibri" w:eastAsia="Calibri"/>
          <w:b/>
          <w:i w:val="0"/>
          <w:color w:val="2D5130"/>
          <w:sz w:val="22"/>
        </w:rPr>
        <w:t>PRÁTICAS NO ATENDIMENTO ÀS FAMÍLIAS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Inclusão mediante Anamnese Social da Família e critérios objetivos de vulnerabilidade, documentados e revisados periodicamente.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Sigilo absoluto sobre dados e situação das famílias (LGPD). Nenhum beneficiário é exposto em fotos, listas públicas ou redes sociais sem consentimento livre e por escrito.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A entrega é feita com respeito, em local e horário dignos, sem filas vexatórias, discursos constrangedores ou condicionamento da ajuda à adesão religiosa.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Cada família tem um Plano de Desenvolvimento Familiar com metas de autonomia; a assistência é ponte, não destino, e a saída por autonomia é celebrada.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Medicamentos são entregues somente mediante prescrição médica válida, com conferência de lote e validade, e orientação sobre uso; medicamentos vencidos são descartados conforme norma sanitária.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6  </w:t>
      </w:r>
      <w:r>
        <w:rPr>
          <w:rFonts w:ascii="Calibri" w:hAnsi="Calibri" w:eastAsia="Calibri"/>
          <w:b/>
          <w:i w:val="0"/>
          <w:color w:val="2D5130"/>
          <w:sz w:val="22"/>
        </w:rPr>
        <w:t>TRANSPARÊNCIA E PRESTAÇÃO DE CONTAS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Mensal: </w:t>
      </w:r>
      <w:r>
        <w:rPr>
          <w:rFonts w:ascii="Calibri" w:hAnsi="Calibri" w:eastAsia="Calibri"/>
          <w:b w:val="0"/>
          <w:i w:val="0"/>
          <w:sz w:val="19"/>
        </w:rPr>
        <w:t>elaboração do relatório de execução físico-financeira com balancete conciliado, assinado pelo tesoureiro, aprovado pelo presidente e com parecer do Conselho Fiscal.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Anual: </w:t>
      </w:r>
      <w:r>
        <w:rPr>
          <w:rFonts w:ascii="Calibri" w:hAnsi="Calibri" w:eastAsia="Calibri"/>
          <w:b w:val="0"/>
          <w:i w:val="0"/>
          <w:sz w:val="19"/>
        </w:rPr>
        <w:t>demonstrações contábeis (balanço patrimonial, demonstração do resultado do período, notas explicativas) apresentadas à assembleia geral, com parecer do Conselho Fiscal, até 30 de abril.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Aos doadores: </w:t>
      </w:r>
      <w:r>
        <w:rPr>
          <w:rFonts w:ascii="Calibri" w:hAnsi="Calibri" w:eastAsia="Calibri"/>
          <w:b w:val="0"/>
          <w:i w:val="0"/>
          <w:sz w:val="19"/>
        </w:rPr>
        <w:t>resumo das receitas, despesas e resultados sociais enviado aos doadores e igrejas parceiras e disponível a qualquer interessado que o solicite.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Canal aberto: </w:t>
      </w:r>
      <w:r>
        <w:rPr>
          <w:rFonts w:ascii="Calibri" w:hAnsi="Calibri" w:eastAsia="Calibri"/>
          <w:b w:val="0"/>
          <w:i w:val="0"/>
          <w:sz w:val="19"/>
        </w:rPr>
        <w:t>manutenção de canal direto (telefone / e-mail) para dúvidas, sugestões e denúncias, com garantia de não retaliação.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7  </w:t>
      </w:r>
      <w:r>
        <w:rPr>
          <w:rFonts w:ascii="Calibri" w:hAnsi="Calibri" w:eastAsia="Calibri"/>
          <w:b/>
          <w:i w:val="0"/>
          <w:color w:val="2D5130"/>
          <w:sz w:val="22"/>
        </w:rPr>
        <w:t>CONFLITO DE INTERESSES E CONDUTA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Dirigentes, conselheiros e voluntários assinam anualmente a Declaração de Conformidade e Boas Práticas e informam qualquer vínculo com fornecedores, parceiros ou beneficiários.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Quem tiver interesse pessoal em uma decisão se abstém de participar dela, e o fato é registrado em ata.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É vedado aceitar presentes, comissões ou vantagens de fornecedores e parceiros em razão da função.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O nome, a logomarca e os recursos da organização não são usados para fins particulares, políticos ou comerciais.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8  </w:t>
      </w:r>
      <w:r>
        <w:rPr>
          <w:rFonts w:ascii="Calibri" w:hAnsi="Calibri" w:eastAsia="Calibri"/>
          <w:b/>
          <w:i w:val="0"/>
          <w:color w:val="2D5130"/>
          <w:sz w:val="22"/>
        </w:rPr>
        <w:t>VIGÊNCIA, REVISÃO E APROVAÇÃO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Esta política entra em vigor na data de sua aprovação pela diretoria, é revisada ao menos a cada dois anos e integra os anexos obrigatórios da prestação de contas anual. Casos omissos são resolvidos pela diretoria, ouvido o Conselho Fiscal, sempre à luz dos princípios do item 2.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40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Presidente</w:t>
            </w:r>
          </w:p>
        </w:tc>
        <w:tc>
          <w:tcPr>
            <w:tcW w:type="dxa" w:w="3288"/>
          </w:tcPr>
          <w:p>
            <w:pPr>
              <w:spacing w:before="40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Tesoureiro(a)</w:t>
            </w:r>
          </w:p>
        </w:tc>
        <w:tc>
          <w:tcPr>
            <w:tcW w:type="dxa" w:w="3288"/>
          </w:tcPr>
          <w:p>
            <w:pPr>
              <w:spacing w:before="40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Conselho Fiscal</w:t>
            </w:r>
          </w:p>
        </w:tc>
      </w:tr>
    </w:tbl>
    <w:p>
      <w:pPr>
        <w:spacing w:before="160" w:after="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Local e data: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Política de Boas Práticas de Governança e Prestação de Contas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normativo interno    •    Aprovado em: ____/____/______    •    Revisão: ______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