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2C3E50"/>
          <w:sz w:val="36"/>
          <w:szCs w:val="36"/>
        </w:rPr>
        <w:t xml:space="preserve">FERNANDO COSTA XAVIER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Finance &amp; Controllership Executive  |  LATAM Operations  |  IFRS • US GAAP • BR GAAP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São Paulo, Brazil  •  +55 11 96480-1913  •  fernandocostaxavier@gmail.com  •  linkedin.com/in/fernandoxavier02</w:t>
      </w:r>
    </w:p>
    <w:p>
      <w:pPr>
        <w:pBdr>
          <w:bottom w:val="single" w:color="8B6914" w:sz="4" w:space="2"/>
        </w:pBdr>
        <w:spacing w:before="180" w:after="8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EXECUTIVE SUMMARY</w:t>
      </w:r>
    </w:p>
    <w:p>
      <w:pPr>
        <w:spacing w:before="80" w:after="80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Finance &amp; Controllership Director with 10+ years steering accounting, financial reporting, and transformation initiatives for multinational groups across Latin America. Deep expertise in IFRS, US GAAP, and BR GAAP, with proven success managing multi-entity financial operations spanning Brazil, Mexico, Argentina, Colombia, Chile, and Peru. Recognised for driving process automation initiatives that eliminated 70% of manual tasks and reduced reporting cycles by 40%. Experienced in partnering with cross-border teams, external auditors, and business stakeholders to ensure compliance, optimise processes, and scale financial operations in high-growth environments. CRC-certified and trilingual (Portuguese, English C2, Spanish C1).</w:t>
      </w:r>
    </w:p>
    <w:p>
      <w:pPr>
        <w:pBdr>
          <w:bottom w:val="single" w:color="8B6914" w:sz="4" w:space="2"/>
        </w:pBdr>
        <w:spacing w:before="180" w:after="8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KEY ACHIEVEMENTS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Automated 70%+ of manual accounting tasks through the ‘Integrated Accounting Intelligence’ initiative, reducing month-end close cycle by 40% and improving data quality across 5 LATAM entities.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Managed end-to-end financial operations for subsidiaries in 5 countries (Brazil, Mexico, Chile, Argentina, Peru), ensuring audit readiness and compliant reporting under IFRS, US GAAP, and local standards.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Led 3 M&amp;A due diligence and post-merger integration projects, standing up new-entity accounting, internal controls, and statutory reporting from scratch.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Developed PMO governance and internal finance academy, recognised by global HQ for leadership during hyperinflation and tax reform challenges in Argentina and Brazil.</w:t>
      </w:r>
    </w:p>
    <w:p>
      <w:pPr>
        <w:pBdr>
          <w:bottom w:val="single" w:color="8B6914" w:sz="4" w:space="2"/>
        </w:pBdr>
        <w:spacing w:before="180" w:after="8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Chief Accounting &amp; Finance Director</w:t>
      </w: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	May 2025 – Present</w:t>
      </w:r>
    </w:p>
    <w:p>
      <w:pPr>
        <w:spacing w:before="0" w:after="4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Forvis Mazars  |  São Paulo, Brazil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Set strategic vision for accounting and finance functions, partnering with CFOs, auditors, and boards to align operations with corporate strategy across multiple business units.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Drive digital transformation and AI adoption using SAP, Power BI, ClickUp, and Microsoft GPT, enabling continuous improvement and data-driven decision-making.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Lead FP&amp;A, budgeting, forecasting, and cost optimisation; support M&amp;A due diligence, valuation, and post-merger integration.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Ensure compliance with IFRS, US GAAP, BR GAAP, and regulatory bodies; design internal controls framework and manage audit readiness.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Regional Controller LATAM &amp; Head of Statutory Accounting</w:t>
      </w: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	Sep 2018 – May 2025</w:t>
      </w:r>
    </w:p>
    <w:p>
      <w:pPr>
        <w:spacing w:before="0" w:after="4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AgroFresh (NYSE-listed)  |  São Paulo, Brazil  |  LATAM Region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Oversaw accounting, tax, and financial reporting operations for subsidiaries in Mexico, Chile, Argentina, Peru, and Brazil, adhering to IFRS, US GAAP, and local regulations.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Implemented robust internal controls, coordinated internal and external audits, led tax planning and transfer pricing strategy for the region.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Drove 3 M&amp;A due diligence processes and post-acquisition integration of new LATAM subsidiaries, establishing statutory reporting and compliance frameworks from the ground up.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Developed management reporting, KPIs, and dashboards; managed regional cash flows and implemented transfer pricing policies across 5 countries.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Spearheaded process optimisation initiatives resulting in significant reduction of manual tasks and improvement in close timelines.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Accounting Manager &amp; Head of IFRS Reporting LATAM</w:t>
      </w: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	Apr 2017 – Sep 2018</w:t>
      </w:r>
    </w:p>
    <w:p>
      <w:pPr>
        <w:spacing w:before="0" w:after="4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Capgemini Brazil  |  São Paulo, Brazil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Managed Brazilian monthly close (BR GAAP) and consolidated statements for a multinational group; produced IFRS reporting packages and FP&amp;A analyses for headquarters.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Led M&amp;A initiatives, transfer pricing studies, and impairment reviews; developed financial models and internal accounting policies across Latin America.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Supervised a team of 11 analysts and deployed automation via SAP, Power BI, and automated reporting systems to enhance accuracy and efficiency.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Reviewed taxes (IRPJ/CSLL, PIS, COFINS); managed internal and external audits and prepared financial statements and explanatory notes.</w:t>
      </w:r>
    </w:p>
    <w:p>
      <w:pPr>
        <w:spacing w:before="140" w:after="40"/>
      </w:pPr>
      <w:r>
        <w:rPr>
          <w:rFonts w:ascii="Georgia" w:cs="Georgia" w:eastAsia="Georgia" w:hAnsi="Georgia"/>
          <w:b/>
          <w:bCs/>
          <w:color w:val="2C3E50"/>
          <w:sz w:val="21"/>
          <w:szCs w:val="21"/>
        </w:rPr>
        <w:t xml:space="preserve">Early Career</w:t>
      </w:r>
    </w:p>
    <w:p>
      <w:pPr>
        <w:spacing w:before="20" w:after="2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Accounting Coordinator, Assessor Bordin Business Consultants (2017–2018)  |  Accounting Analyst, Watanabe Assessoria Contábil (2015–2017)  |  Tax &amp; Accounting roles at Lune Business Advisory and Bookeepers Tax Consulting (2014–2015)  |  Law Analyst, Carvalho Advogados (2011–2014)</w:t>
      </w:r>
    </w:p>
    <w:p>
      <w:pPr>
        <w:pBdr>
          <w:bottom w:val="single" w:color="8B6914" w:sz="4" w:space="2"/>
        </w:pBdr>
        <w:spacing w:before="180" w:after="8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EDUCATION</w:t>
      </w:r>
    </w:p>
    <w:p>
      <w:pPr>
        <w:spacing w:before="80" w:after="30"/>
      </w:pPr>
      <w:r>
        <w:rPr>
          <w:rFonts w:ascii="Georgia" w:cs="Georgia" w:eastAsia="Georgia" w:hAnsi="Georgia"/>
          <w:b/>
          <w:bCs/>
          <w:color w:val="2C3E50"/>
          <w:sz w:val="20"/>
          <w:szCs w:val="20"/>
        </w:rPr>
        <w:t xml:space="preserve">Bachelor in Accounting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  –  Anhembi Morumbi University  (2018)</w:t>
      </w:r>
    </w:p>
    <w:p>
      <w:pPr>
        <w:spacing w:before="30" w:after="30"/>
      </w:pPr>
      <w:r>
        <w:rPr>
          <w:rFonts w:ascii="Georgia" w:cs="Georgia" w:eastAsia="Georgia" w:hAnsi="Georgia"/>
          <w:b/>
          <w:bCs/>
          <w:color w:val="2C3E50"/>
          <w:sz w:val="20"/>
          <w:szCs w:val="20"/>
        </w:rPr>
        <w:t xml:space="preserve">Bachelor in Law</w:t>
      </w:r>
      <w:r>
        <w:rPr>
          <w:rFonts w:ascii="Georgia" w:cs="Georgia" w:eastAsia="Georgia" w:hAnsi="Georgia"/>
          <w:color w:val="555555"/>
          <w:sz w:val="20"/>
          <w:szCs w:val="20"/>
        </w:rPr>
        <w:t xml:space="preserve">  –  Unifieo University Center  (2006)</w:t>
      </w:r>
    </w:p>
    <w:p>
      <w:pPr>
        <w:pBdr>
          <w:bottom w:val="single" w:color="8B6914" w:sz="4" w:space="2"/>
        </w:pBdr>
        <w:spacing w:before="180" w:after="8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CERTIFICATIONS &amp; PROFESSIONAL MEMBERSHIPS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ACCA Certificate in International Financial Reporting (Cert IFR)  |  IFRS Advanced Certificate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Financial Modelling &amp; Valuation Analyst (FMVA®)  |  Certified Data Modelling in Power BI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Organisational Leadership Certificate – Harvard Business School Online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Certified Accountant – CRC/SP (Active)  |  EF SET English C2 Certificate</w:t>
      </w:r>
    </w:p>
    <w:p>
      <w:pPr>
        <w:spacing w:before="20" w:after="20"/>
        <w:ind w:left="360" w:hanging="20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•  </w:t>
      </w:r>
      <w:r>
        <w:rPr>
          <w:rFonts w:ascii="Georgia" w:cs="Georgia" w:eastAsia="Georgia" w:hAnsi="Georgia"/>
          <w:color w:val="2C3E50"/>
          <w:sz w:val="20"/>
          <w:szCs w:val="20"/>
        </w:rPr>
        <w:t xml:space="preserve">Member of IBEF (Instituto Brasileiro de Executivos de Finanças) and Power Tax Brasil</w:t>
      </w:r>
    </w:p>
    <w:p>
      <w:pPr>
        <w:pBdr>
          <w:bottom w:val="single" w:color="8B6914" w:sz="4" w:space="2"/>
        </w:pBdr>
        <w:spacing w:before="180" w:after="8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TECHNICAL SKILLS &amp; TOOLS</w:t>
      </w:r>
    </w:p>
    <w:p>
      <w:pPr>
        <w:spacing w:before="30" w:after="3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Accounting &amp; Compliance: IFRS, US GAAP, BR GAAP, Financial Close &amp; Consolidation, Statutory Reporting, Internal Controls, Audit Management, Tax Planning, Transfer Pricing, CPC/CVM Regulations</w:t>
      </w:r>
    </w:p>
    <w:p>
      <w:pPr>
        <w:spacing w:before="30" w:after="3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Planning &amp; Analysis: FP&amp;A, Budgeting &amp; Forecasting, Cost Accounting, Variance Analysis, Financial Modelling, M&amp;A Due Diligence &amp; Integration</w:t>
      </w:r>
    </w:p>
    <w:p>
      <w:pPr>
        <w:spacing w:before="30" w:after="3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Systems &amp; Tools: SAP, Power BI, Power Automate, BFC, ClickUp, Microsoft 365, AI Tools (Microsoft GPT)</w:t>
      </w:r>
    </w:p>
    <w:p>
      <w:pPr>
        <w:spacing w:before="30" w:after="30"/>
      </w:pPr>
      <w:r>
        <w:rPr>
          <w:rFonts w:ascii="Georgia" w:cs="Georgia" w:eastAsia="Georgia" w:hAnsi="Georgia"/>
          <w:color w:val="2C3E50"/>
          <w:sz w:val="20"/>
          <w:szCs w:val="20"/>
        </w:rPr>
        <w:t xml:space="preserve">Languages: Portuguese (Native)  |  English (C2 – Fluent)  |  Spanish (C1 – Advanced)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2026-03-06T21:56:01.086Z</dcterms:created>
  <dcterms:modified xsi:type="dcterms:W3CDTF">2026-03-06T21:56:01.087Z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