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3C2" w:rsidRDefault="00B873C2" w:rsidP="00B873C2">
      <w:pPr>
        <w:tabs>
          <w:tab w:val="left" w:pos="1545"/>
        </w:tabs>
        <w:jc w:val="center"/>
        <w:rPr>
          <w:rFonts w:ascii="Arial" w:hAnsi="Arial" w:cs="Arial"/>
          <w:b/>
          <w:color w:val="222222"/>
          <w:sz w:val="32"/>
          <w:szCs w:val="32"/>
          <w:shd w:val="clear" w:color="auto" w:fill="FFFFFF"/>
        </w:rPr>
      </w:pPr>
      <w:r>
        <w:rPr>
          <w:rFonts w:ascii="Arial" w:hAnsi="Arial" w:cs="Arial"/>
          <w:b/>
          <w:color w:val="222222"/>
          <w:sz w:val="32"/>
          <w:szCs w:val="32"/>
          <w:shd w:val="clear" w:color="auto" w:fill="FFFFFF"/>
        </w:rPr>
        <w:t>DEMOGRAPHIC METHODS</w:t>
      </w:r>
    </w:p>
    <w:p w:rsidR="00B873C2" w:rsidRDefault="00B873C2" w:rsidP="00B873C2">
      <w:pPr>
        <w:tabs>
          <w:tab w:val="left" w:pos="1545"/>
        </w:tabs>
        <w:jc w:val="center"/>
        <w:rPr>
          <w:rFonts w:ascii="Arial" w:hAnsi="Arial" w:cs="Arial"/>
          <w:b/>
          <w:color w:val="222222"/>
          <w:sz w:val="32"/>
          <w:szCs w:val="32"/>
          <w:shd w:val="clear" w:color="auto" w:fill="FFFFFF"/>
        </w:rPr>
      </w:pPr>
      <w:r>
        <w:rPr>
          <w:rFonts w:ascii="Arial" w:hAnsi="Arial" w:cs="Arial"/>
          <w:b/>
          <w:color w:val="222222"/>
          <w:sz w:val="32"/>
          <w:szCs w:val="32"/>
          <w:shd w:val="clear" w:color="auto" w:fill="FFFFFF"/>
        </w:rPr>
        <w:t>ASSIGNMENT-1</w:t>
      </w:r>
    </w:p>
    <w:p w:rsidR="00B873C2" w:rsidRDefault="00B873C2">
      <w:pPr>
        <w:rPr>
          <w:rFonts w:ascii="Arial" w:hAnsi="Arial" w:cs="Arial"/>
          <w:b/>
          <w:color w:val="222222"/>
          <w:sz w:val="32"/>
          <w:szCs w:val="32"/>
          <w:shd w:val="clear" w:color="auto" w:fill="FFFFFF"/>
        </w:rPr>
      </w:pPr>
    </w:p>
    <w:p w:rsidR="00F55A54" w:rsidRPr="00F55A54" w:rsidRDefault="00F55A54">
      <w:pPr>
        <w:rPr>
          <w:rFonts w:ascii="Arial" w:hAnsi="Arial" w:cs="Arial"/>
          <w:b/>
          <w:color w:val="222222"/>
          <w:sz w:val="32"/>
          <w:szCs w:val="32"/>
          <w:shd w:val="clear" w:color="auto" w:fill="FFFFFF"/>
        </w:rPr>
      </w:pPr>
      <w:r>
        <w:rPr>
          <w:rFonts w:ascii="Arial" w:hAnsi="Arial" w:cs="Arial"/>
          <w:b/>
          <w:color w:val="222222"/>
          <w:sz w:val="32"/>
          <w:szCs w:val="32"/>
          <w:shd w:val="clear" w:color="auto" w:fill="FFFFFF"/>
        </w:rPr>
        <w:t>INFANT MARTALITY RATE</w:t>
      </w:r>
      <w:r w:rsidR="006C5629">
        <w:rPr>
          <w:rFonts w:ascii="Arial" w:hAnsi="Arial" w:cs="Arial"/>
          <w:b/>
          <w:color w:val="222222"/>
          <w:sz w:val="32"/>
          <w:szCs w:val="32"/>
          <w:shd w:val="clear" w:color="auto" w:fill="FFFFFF"/>
        </w:rPr>
        <w:t xml:space="preserve"> (IMR)</w:t>
      </w:r>
      <w:r>
        <w:rPr>
          <w:rFonts w:ascii="Arial" w:hAnsi="Arial" w:cs="Arial"/>
          <w:b/>
          <w:color w:val="222222"/>
          <w:sz w:val="32"/>
          <w:szCs w:val="32"/>
          <w:shd w:val="clear" w:color="auto" w:fill="FFFFFF"/>
        </w:rPr>
        <w:t>:</w:t>
      </w:r>
    </w:p>
    <w:p w:rsidR="00DE6F9D" w:rsidRDefault="00F55A54" w:rsidP="00F55A54">
      <w:pPr>
        <w:jc w:val="both"/>
        <w:rPr>
          <w:rFonts w:ascii="Arial" w:hAnsi="Arial" w:cs="Arial"/>
          <w:color w:val="222222"/>
          <w:sz w:val="32"/>
          <w:szCs w:val="32"/>
          <w:shd w:val="clear" w:color="auto" w:fill="FFFFFF"/>
        </w:rPr>
      </w:pPr>
      <w:r>
        <w:rPr>
          <w:rFonts w:ascii="Arial" w:hAnsi="Arial" w:cs="Arial"/>
          <w:color w:val="222222"/>
          <w:sz w:val="32"/>
          <w:szCs w:val="32"/>
          <w:shd w:val="clear" w:color="auto" w:fill="FFFFFF"/>
        </w:rPr>
        <w:t xml:space="preserve">                </w:t>
      </w:r>
      <w:r w:rsidRPr="00F55A54">
        <w:rPr>
          <w:rFonts w:ascii="Arial" w:hAnsi="Arial" w:cs="Arial"/>
          <w:color w:val="222222"/>
          <w:sz w:val="32"/>
          <w:szCs w:val="32"/>
          <w:shd w:val="clear" w:color="auto" w:fill="FFFFFF"/>
        </w:rPr>
        <w:t>Infant mortality rate (IMR) is the number of deaths </w:t>
      </w:r>
      <w:r w:rsidRPr="00F55A54">
        <w:rPr>
          <w:rFonts w:ascii="Arial" w:hAnsi="Arial" w:cs="Arial"/>
          <w:b/>
          <w:bCs/>
          <w:color w:val="222222"/>
          <w:sz w:val="32"/>
          <w:szCs w:val="32"/>
          <w:shd w:val="clear" w:color="auto" w:fill="FFFFFF"/>
        </w:rPr>
        <w:t>per 1,000</w:t>
      </w:r>
      <w:r w:rsidRPr="00F55A54">
        <w:rPr>
          <w:rFonts w:ascii="Arial" w:hAnsi="Arial" w:cs="Arial"/>
          <w:color w:val="222222"/>
          <w:sz w:val="32"/>
          <w:szCs w:val="32"/>
          <w:shd w:val="clear" w:color="auto" w:fill="FFFFFF"/>
        </w:rPr>
        <w:t> live births of children under one year of age. The rate for a given region is the number of children dying under one year of age, divided by the number of live births during the year, multiplied by 1,000.</w:t>
      </w:r>
    </w:p>
    <w:p w:rsidR="006D5CF0" w:rsidRDefault="006D5CF0" w:rsidP="00F55A54">
      <w:pPr>
        <w:jc w:val="both"/>
        <w:rPr>
          <w:rFonts w:ascii="Arial" w:hAnsi="Arial" w:cs="Arial"/>
          <w:color w:val="222222"/>
          <w:sz w:val="32"/>
          <w:szCs w:val="32"/>
          <w:shd w:val="clear" w:color="auto" w:fill="FFFFFF"/>
        </w:rPr>
      </w:pPr>
    </w:p>
    <w:p w:rsidR="00F55A54" w:rsidRDefault="00F55A54" w:rsidP="00F55A54">
      <w:pPr>
        <w:jc w:val="both"/>
        <w:rPr>
          <w:sz w:val="32"/>
          <w:szCs w:val="32"/>
        </w:rPr>
      </w:pPr>
      <w:r>
        <w:rPr>
          <w:rFonts w:ascii="Arial" w:hAnsi="Arial" w:cs="Arial"/>
          <w:color w:val="222222"/>
          <w:sz w:val="32"/>
          <w:szCs w:val="32"/>
          <w:shd w:val="clear" w:color="auto" w:fill="FFFFFF"/>
        </w:rPr>
        <w:t xml:space="preserve">     </w:t>
      </w:r>
      <m:oMath>
        <m:f>
          <m:fPr>
            <m:ctrlPr>
              <w:rPr>
                <w:rFonts w:ascii="Cambria Math" w:hAnsi="Cambria Math"/>
                <w:i/>
                <w:sz w:val="32"/>
                <w:szCs w:val="32"/>
              </w:rPr>
            </m:ctrlPr>
          </m:fPr>
          <m:num>
            <m:r>
              <m:rPr>
                <m:sty m:val="p"/>
              </m:rPr>
              <w:rPr>
                <w:rFonts w:ascii="Cambria Math" w:hAnsi="Cambria Math"/>
                <w:sz w:val="32"/>
                <w:szCs w:val="32"/>
              </w:rPr>
              <m:t>Number of deaths to live born infants under one year of age</m:t>
            </m:r>
          </m:num>
          <m:den>
            <m:r>
              <m:rPr>
                <m:sty m:val="p"/>
              </m:rPr>
              <w:rPr>
                <w:rFonts w:ascii="Cambria Math" w:hAnsi="Cambria Math"/>
                <w:sz w:val="32"/>
                <w:szCs w:val="32"/>
              </w:rPr>
              <m:t>Number of births</m:t>
            </m:r>
          </m:den>
        </m:f>
      </m:oMath>
      <w:r>
        <w:rPr>
          <w:sz w:val="32"/>
          <w:szCs w:val="32"/>
        </w:rPr>
        <w:t xml:space="preserve"> </w:t>
      </w:r>
      <w:r w:rsidRPr="00F55A54">
        <w:rPr>
          <w:sz w:val="32"/>
          <w:szCs w:val="32"/>
        </w:rPr>
        <w:t>X 1,000</w:t>
      </w:r>
    </w:p>
    <w:p w:rsidR="006D5CF0" w:rsidRDefault="006D5CF0" w:rsidP="00F55A54">
      <w:pPr>
        <w:jc w:val="both"/>
        <w:rPr>
          <w:rFonts w:ascii="Arial" w:hAnsi="Arial" w:cs="Arial"/>
          <w:b/>
          <w:bCs/>
          <w:color w:val="222222"/>
          <w:sz w:val="32"/>
          <w:szCs w:val="32"/>
          <w:shd w:val="clear" w:color="auto" w:fill="FFFFFF"/>
        </w:rPr>
      </w:pPr>
    </w:p>
    <w:p w:rsidR="006D5CF0" w:rsidRDefault="006D5CF0" w:rsidP="00F55A54">
      <w:pPr>
        <w:jc w:val="both"/>
        <w:rPr>
          <w:rFonts w:ascii="Arial" w:hAnsi="Arial" w:cs="Arial"/>
          <w:color w:val="222222"/>
          <w:sz w:val="32"/>
          <w:szCs w:val="32"/>
          <w:shd w:val="clear" w:color="auto" w:fill="FFFFFF"/>
        </w:rPr>
      </w:pPr>
      <w:r w:rsidRPr="006D5CF0">
        <w:rPr>
          <w:rFonts w:ascii="Arial" w:hAnsi="Arial" w:cs="Arial"/>
          <w:b/>
          <w:bCs/>
          <w:color w:val="222222"/>
          <w:sz w:val="32"/>
          <w:szCs w:val="32"/>
          <w:shd w:val="clear" w:color="auto" w:fill="FFFFFF"/>
        </w:rPr>
        <w:t>Causes</w:t>
      </w:r>
      <w:r w:rsidRPr="006D5CF0">
        <w:rPr>
          <w:rFonts w:ascii="Arial" w:hAnsi="Arial" w:cs="Arial"/>
          <w:color w:val="222222"/>
          <w:sz w:val="32"/>
          <w:szCs w:val="32"/>
          <w:shd w:val="clear" w:color="auto" w:fill="FFFFFF"/>
        </w:rPr>
        <w:t> of infant mortality and deaths that are related to medical conditions include: </w:t>
      </w:r>
      <w:r w:rsidRPr="006D5CF0">
        <w:rPr>
          <w:rFonts w:ascii="Arial" w:hAnsi="Arial" w:cs="Arial"/>
          <w:b/>
          <w:bCs/>
          <w:color w:val="222222"/>
          <w:sz w:val="32"/>
          <w:szCs w:val="32"/>
          <w:shd w:val="clear" w:color="auto" w:fill="FFFFFF"/>
        </w:rPr>
        <w:t>low</w:t>
      </w:r>
      <w:r w:rsidRPr="006D5CF0">
        <w:rPr>
          <w:rFonts w:ascii="Arial" w:hAnsi="Arial" w:cs="Arial"/>
          <w:color w:val="222222"/>
          <w:sz w:val="32"/>
          <w:szCs w:val="32"/>
          <w:shd w:val="clear" w:color="auto" w:fill="FFFFFF"/>
        </w:rPr>
        <w:t> birth weight, sudden infant death syndrome, malnutrition, congenital malformations, and infectious diseases, </w:t>
      </w:r>
      <w:r w:rsidRPr="006D5CF0">
        <w:rPr>
          <w:rFonts w:ascii="Arial" w:hAnsi="Arial" w:cs="Arial"/>
          <w:b/>
          <w:bCs/>
          <w:color w:val="222222"/>
          <w:sz w:val="32"/>
          <w:szCs w:val="32"/>
          <w:shd w:val="clear" w:color="auto" w:fill="FFFFFF"/>
        </w:rPr>
        <w:t>low</w:t>
      </w:r>
      <w:r w:rsidRPr="006D5CF0">
        <w:rPr>
          <w:rFonts w:ascii="Arial" w:hAnsi="Arial" w:cs="Arial"/>
          <w:color w:val="222222"/>
          <w:sz w:val="32"/>
          <w:szCs w:val="32"/>
          <w:shd w:val="clear" w:color="auto" w:fill="FFFFFF"/>
        </w:rPr>
        <w:t> income </w:t>
      </w:r>
      <w:r w:rsidRPr="006D5CF0">
        <w:rPr>
          <w:rFonts w:ascii="Arial" w:hAnsi="Arial" w:cs="Arial"/>
          <w:b/>
          <w:bCs/>
          <w:color w:val="222222"/>
          <w:sz w:val="32"/>
          <w:szCs w:val="32"/>
          <w:shd w:val="clear" w:color="auto" w:fill="FFFFFF"/>
        </w:rPr>
        <w:t>for</w:t>
      </w:r>
      <w:r w:rsidRPr="006D5CF0">
        <w:rPr>
          <w:rFonts w:ascii="Arial" w:hAnsi="Arial" w:cs="Arial"/>
          <w:color w:val="222222"/>
          <w:sz w:val="32"/>
          <w:szCs w:val="32"/>
          <w:shd w:val="clear" w:color="auto" w:fill="FFFFFF"/>
        </w:rPr>
        <w:t> health care including neglected tropical diseases.</w:t>
      </w:r>
    </w:p>
    <w:p w:rsidR="00D836E4" w:rsidRDefault="00D836E4" w:rsidP="00F55A54">
      <w:pPr>
        <w:jc w:val="both"/>
        <w:rPr>
          <w:rFonts w:ascii="Arial" w:hAnsi="Arial" w:cs="Arial"/>
          <w:color w:val="222222"/>
          <w:sz w:val="32"/>
          <w:szCs w:val="32"/>
          <w:shd w:val="clear" w:color="auto" w:fill="FFFFFF"/>
        </w:rPr>
      </w:pPr>
    </w:p>
    <w:p w:rsidR="00D836E4" w:rsidRPr="00D836E4" w:rsidRDefault="00D836E4" w:rsidP="00F55A54">
      <w:pPr>
        <w:jc w:val="both"/>
        <w:rPr>
          <w:rFonts w:ascii="Arial" w:hAnsi="Arial" w:cs="Arial"/>
          <w:color w:val="222222"/>
          <w:sz w:val="32"/>
          <w:szCs w:val="32"/>
          <w:shd w:val="clear" w:color="auto" w:fill="FFFFFF"/>
        </w:rPr>
      </w:pPr>
      <w:r w:rsidRPr="00D836E4">
        <w:rPr>
          <w:rFonts w:ascii="Arial" w:hAnsi="Arial" w:cs="Arial"/>
          <w:color w:val="202122"/>
          <w:sz w:val="32"/>
          <w:szCs w:val="32"/>
          <w:shd w:val="clear" w:color="auto" w:fill="FFFFFF"/>
        </w:rPr>
        <w:t>However, the method of calculating IMR often varies widely between countries and is based on how they define a live birth and how many premature infants are born in the country. Reporting of infant mortality rates can be inconsistent, and may be understated, depending on a nation's live birth criterion, vital registration system, and reporting practices.</w:t>
      </w:r>
      <w:r w:rsidR="00D80059">
        <w:rPr>
          <w:rFonts w:ascii="Arial" w:hAnsi="Arial" w:cs="Arial"/>
          <w:color w:val="202122"/>
          <w:sz w:val="32"/>
          <w:szCs w:val="32"/>
          <w:shd w:val="clear" w:color="auto" w:fill="FFFFFF"/>
        </w:rPr>
        <w:t xml:space="preserve"> </w:t>
      </w:r>
      <w:r w:rsidRPr="00D836E4">
        <w:rPr>
          <w:rFonts w:ascii="Arial" w:hAnsi="Arial" w:cs="Arial"/>
          <w:color w:val="202122"/>
          <w:sz w:val="32"/>
          <w:szCs w:val="32"/>
          <w:shd w:val="clear" w:color="auto" w:fill="FFFFFF"/>
        </w:rPr>
        <w:t>The reported IMR provides one statistic which reflects the standard of living in each nation. Changes in the infant mortality rate reflect social and technical capacities</w:t>
      </w:r>
      <w:r w:rsidRPr="00D836E4">
        <w:rPr>
          <w:rFonts w:ascii="Arial" w:hAnsi="Arial" w:cs="Arial"/>
          <w:color w:val="202122"/>
          <w:sz w:val="32"/>
          <w:szCs w:val="32"/>
          <w:shd w:val="clear" w:color="auto" w:fill="FFFFFF"/>
          <w:vertAlign w:val="superscript"/>
        </w:rPr>
        <w:t>]</w:t>
      </w:r>
      <w:r w:rsidRPr="00D836E4">
        <w:rPr>
          <w:rFonts w:ascii="Arial" w:hAnsi="Arial" w:cs="Arial"/>
          <w:color w:val="202122"/>
          <w:sz w:val="32"/>
          <w:szCs w:val="32"/>
          <w:shd w:val="clear" w:color="auto" w:fill="FFFFFF"/>
        </w:rPr>
        <w:t> of a nation's population</w:t>
      </w:r>
      <w:r w:rsidR="00D80059">
        <w:rPr>
          <w:rFonts w:ascii="Arial" w:hAnsi="Arial" w:cs="Arial"/>
          <w:color w:val="202122"/>
          <w:sz w:val="32"/>
          <w:szCs w:val="32"/>
          <w:shd w:val="clear" w:color="auto" w:fill="FFFFFF"/>
        </w:rPr>
        <w:t>.</w:t>
      </w:r>
      <w:r w:rsidRPr="00D836E4">
        <w:rPr>
          <w:rFonts w:ascii="Arial" w:hAnsi="Arial" w:cs="Arial"/>
          <w:color w:val="202122"/>
          <w:sz w:val="32"/>
          <w:szCs w:val="32"/>
          <w:shd w:val="clear" w:color="auto" w:fill="FFFFFF"/>
        </w:rPr>
        <w:t> The </w:t>
      </w:r>
      <w:hyperlink r:id="rId4" w:tooltip="World Health Organization" w:history="1">
        <w:r w:rsidRPr="00D836E4">
          <w:rPr>
            <w:rStyle w:val="Hyperlink"/>
            <w:rFonts w:ascii="Arial" w:hAnsi="Arial" w:cs="Arial"/>
            <w:color w:val="0B0080"/>
            <w:sz w:val="32"/>
            <w:szCs w:val="32"/>
            <w:shd w:val="clear" w:color="auto" w:fill="FFFFFF"/>
          </w:rPr>
          <w:t xml:space="preserve">World </w:t>
        </w:r>
        <w:r w:rsidRPr="00D836E4">
          <w:rPr>
            <w:rStyle w:val="Hyperlink"/>
            <w:rFonts w:ascii="Arial" w:hAnsi="Arial" w:cs="Arial"/>
            <w:color w:val="0B0080"/>
            <w:sz w:val="32"/>
            <w:szCs w:val="32"/>
            <w:shd w:val="clear" w:color="auto" w:fill="FFFFFF"/>
          </w:rPr>
          <w:lastRenderedPageBreak/>
          <w:t>Health Organization</w:t>
        </w:r>
      </w:hyperlink>
      <w:r w:rsidRPr="00D836E4">
        <w:rPr>
          <w:rFonts w:ascii="Arial" w:hAnsi="Arial" w:cs="Arial"/>
          <w:color w:val="202122"/>
          <w:sz w:val="32"/>
          <w:szCs w:val="32"/>
          <w:shd w:val="clear" w:color="auto" w:fill="FFFFFF"/>
        </w:rPr>
        <w:t> (WHO) defines a live birth as any infant born demonstrating independent signs of life, including breathing, heartbeat, umbilical cord pulsation or definite movement of voluntary muscles.</w:t>
      </w:r>
      <w:r w:rsidR="00D80059">
        <w:rPr>
          <w:rFonts w:ascii="Arial" w:hAnsi="Arial" w:cs="Arial"/>
          <w:color w:val="202122"/>
          <w:sz w:val="32"/>
          <w:szCs w:val="32"/>
          <w:shd w:val="clear" w:color="auto" w:fill="FFFFFF"/>
        </w:rPr>
        <w:t xml:space="preserve"> </w:t>
      </w:r>
      <w:r w:rsidRPr="00D836E4">
        <w:rPr>
          <w:rFonts w:ascii="Arial" w:hAnsi="Arial" w:cs="Arial"/>
          <w:color w:val="202122"/>
          <w:sz w:val="32"/>
          <w:szCs w:val="32"/>
          <w:shd w:val="clear" w:color="auto" w:fill="FFFFFF"/>
        </w:rPr>
        <w:t>This definition is used in Austria, for example.</w:t>
      </w:r>
      <w:r w:rsidR="00D80059">
        <w:rPr>
          <w:rFonts w:ascii="Arial" w:hAnsi="Arial" w:cs="Arial"/>
          <w:color w:val="202122"/>
          <w:sz w:val="32"/>
          <w:szCs w:val="32"/>
          <w:shd w:val="clear" w:color="auto" w:fill="FFFFFF"/>
        </w:rPr>
        <w:t xml:space="preserve"> </w:t>
      </w:r>
      <w:r w:rsidRPr="00D836E4">
        <w:rPr>
          <w:rFonts w:ascii="Arial" w:hAnsi="Arial" w:cs="Arial"/>
          <w:color w:val="202122"/>
          <w:sz w:val="32"/>
          <w:szCs w:val="32"/>
          <w:shd w:val="clear" w:color="auto" w:fill="FFFFFF"/>
        </w:rPr>
        <w:t>The WHO definition is also used in Germany, but with one slight modification: muscle movement is not considered to be a sign of life.</w:t>
      </w:r>
      <w:r w:rsidR="00D80059">
        <w:rPr>
          <w:rFonts w:ascii="Arial" w:hAnsi="Arial" w:cs="Arial"/>
          <w:color w:val="202122"/>
          <w:sz w:val="32"/>
          <w:szCs w:val="32"/>
          <w:shd w:val="clear" w:color="auto" w:fill="FFFFFF"/>
        </w:rPr>
        <w:t xml:space="preserve"> </w:t>
      </w:r>
      <w:r w:rsidRPr="00D836E4">
        <w:rPr>
          <w:rFonts w:ascii="Arial" w:hAnsi="Arial" w:cs="Arial"/>
          <w:color w:val="202122"/>
          <w:sz w:val="32"/>
          <w:szCs w:val="32"/>
          <w:shd w:val="clear" w:color="auto" w:fill="FFFFFF"/>
        </w:rPr>
        <w:t xml:space="preserve">Many countries, however, including certain European states (e.g. France) and Japan, only count as live births cases where an infant breathes at birth, which makes their reported IMR numbers somewhat lower and increases their rates of </w:t>
      </w:r>
      <w:r w:rsidR="00D80059" w:rsidRPr="00D836E4">
        <w:rPr>
          <w:rFonts w:ascii="Arial" w:hAnsi="Arial" w:cs="Arial"/>
          <w:color w:val="202122"/>
          <w:sz w:val="32"/>
          <w:szCs w:val="32"/>
          <w:shd w:val="clear" w:color="auto" w:fill="FFFFFF"/>
        </w:rPr>
        <w:t>prenatal</w:t>
      </w:r>
      <w:r w:rsidRPr="00D836E4">
        <w:rPr>
          <w:rFonts w:ascii="Arial" w:hAnsi="Arial" w:cs="Arial"/>
          <w:color w:val="202122"/>
          <w:sz w:val="32"/>
          <w:szCs w:val="32"/>
          <w:shd w:val="clear" w:color="auto" w:fill="FFFFFF"/>
        </w:rPr>
        <w:t xml:space="preserve"> mortality. In the Czech Republic and Bulgaria, for instance, requirements for live birth are even higher.</w:t>
      </w:r>
    </w:p>
    <w:p w:rsidR="006D5CF0" w:rsidRDefault="006D5CF0" w:rsidP="00F55A54">
      <w:pPr>
        <w:jc w:val="both"/>
        <w:rPr>
          <w:rFonts w:ascii="Arial" w:hAnsi="Arial" w:cs="Arial"/>
          <w:color w:val="222222"/>
          <w:sz w:val="32"/>
          <w:szCs w:val="32"/>
          <w:shd w:val="clear" w:color="auto" w:fill="FFFFFF"/>
        </w:rPr>
      </w:pPr>
    </w:p>
    <w:p w:rsidR="006D5CF0" w:rsidRDefault="006D5CF0" w:rsidP="00F55A54">
      <w:pPr>
        <w:jc w:val="both"/>
        <w:rPr>
          <w:rFonts w:ascii="Arial" w:hAnsi="Arial" w:cs="Arial"/>
          <w:b/>
          <w:color w:val="222222"/>
          <w:sz w:val="32"/>
          <w:szCs w:val="32"/>
          <w:shd w:val="clear" w:color="auto" w:fill="FFFFFF"/>
        </w:rPr>
      </w:pPr>
      <w:r>
        <w:rPr>
          <w:rFonts w:ascii="Arial" w:hAnsi="Arial" w:cs="Arial"/>
          <w:b/>
          <w:color w:val="222222"/>
          <w:sz w:val="32"/>
          <w:szCs w:val="32"/>
          <w:shd w:val="clear" w:color="auto" w:fill="FFFFFF"/>
        </w:rPr>
        <w:t>NEONATAL MORTALITY RATE</w:t>
      </w:r>
      <w:r w:rsidR="006C5629">
        <w:rPr>
          <w:rFonts w:ascii="Arial" w:hAnsi="Arial" w:cs="Arial"/>
          <w:b/>
          <w:color w:val="222222"/>
          <w:sz w:val="32"/>
          <w:szCs w:val="32"/>
          <w:shd w:val="clear" w:color="auto" w:fill="FFFFFF"/>
        </w:rPr>
        <w:t xml:space="preserve"> </w:t>
      </w:r>
      <w:r>
        <w:rPr>
          <w:rFonts w:ascii="Arial" w:hAnsi="Arial" w:cs="Arial"/>
          <w:b/>
          <w:color w:val="222222"/>
          <w:sz w:val="32"/>
          <w:szCs w:val="32"/>
          <w:shd w:val="clear" w:color="auto" w:fill="FFFFFF"/>
        </w:rPr>
        <w:t>(NMR):</w:t>
      </w:r>
    </w:p>
    <w:p w:rsidR="006D5CF0" w:rsidRDefault="006D5CF0" w:rsidP="006D5CF0">
      <w:pPr>
        <w:jc w:val="both"/>
        <w:rPr>
          <w:sz w:val="32"/>
          <w:szCs w:val="32"/>
        </w:rPr>
      </w:pPr>
      <w:r>
        <w:rPr>
          <w:sz w:val="32"/>
          <w:szCs w:val="32"/>
        </w:rPr>
        <w:t xml:space="preserve">                 </w:t>
      </w:r>
      <w:r w:rsidRPr="006D5CF0">
        <w:rPr>
          <w:sz w:val="32"/>
          <w:szCs w:val="32"/>
        </w:rPr>
        <w:t>Number of deaths duri</w:t>
      </w:r>
      <w:r>
        <w:rPr>
          <w:sz w:val="32"/>
          <w:szCs w:val="32"/>
        </w:rPr>
        <w:t>ng the first 28 completed days of life per 1</w:t>
      </w:r>
      <w:r w:rsidRPr="006D5CF0">
        <w:rPr>
          <w:sz w:val="32"/>
          <w:szCs w:val="32"/>
        </w:rPr>
        <w:t>000 live birt</w:t>
      </w:r>
      <w:r>
        <w:rPr>
          <w:sz w:val="32"/>
          <w:szCs w:val="32"/>
        </w:rPr>
        <w:t xml:space="preserve">hs in a given year or period. </w:t>
      </w:r>
      <w:r w:rsidRPr="006D5CF0">
        <w:rPr>
          <w:sz w:val="32"/>
          <w:szCs w:val="32"/>
        </w:rPr>
        <w:t>Neonatal deaths may be subdivided into early neonatal deaths, occurring during the first seven days of life, and late neonatal deaths, occurring after the seventh day but before the 28 completed days of life</w:t>
      </w:r>
      <w:r>
        <w:rPr>
          <w:sz w:val="32"/>
          <w:szCs w:val="32"/>
        </w:rPr>
        <w:t xml:space="preserve"> </w:t>
      </w:r>
    </w:p>
    <w:p w:rsidR="006D5CF0" w:rsidRDefault="006D5CF0" w:rsidP="006D5CF0">
      <w:pPr>
        <w:jc w:val="both"/>
        <w:rPr>
          <w:sz w:val="32"/>
          <w:szCs w:val="32"/>
        </w:rPr>
      </w:pPr>
    </w:p>
    <w:p w:rsidR="006D5CF0" w:rsidRDefault="006D5CF0" w:rsidP="006D5CF0">
      <w:pPr>
        <w:jc w:val="both"/>
        <w:rPr>
          <w:sz w:val="28"/>
          <w:szCs w:val="28"/>
        </w:rPr>
      </w:pPr>
      <m:oMath>
        <m:r>
          <w:rPr>
            <w:rFonts w:ascii="Cambria Math" w:hAnsi="Cambria Math"/>
            <w:sz w:val="28"/>
            <w:szCs w:val="28"/>
          </w:rPr>
          <m:t xml:space="preserve"> </m:t>
        </m:r>
        <m:f>
          <m:fPr>
            <m:ctrlPr>
              <w:rPr>
                <w:rFonts w:ascii="Cambria Math" w:hAnsi="Cambria Math"/>
                <w:i/>
                <w:sz w:val="28"/>
                <w:szCs w:val="28"/>
              </w:rPr>
            </m:ctrlPr>
          </m:fPr>
          <m:num>
            <m:r>
              <m:rPr>
                <m:sty m:val="p"/>
              </m:rPr>
              <w:rPr>
                <w:rFonts w:ascii="Cambria Math" w:hAnsi="Cambria Math"/>
                <w:sz w:val="28"/>
                <w:szCs w:val="28"/>
              </w:rPr>
              <m:t>number of deaths to live born infants occurring within the first 27 days of life</m:t>
            </m:r>
          </m:num>
          <m:den>
            <m:r>
              <m:rPr>
                <m:sty m:val="p"/>
              </m:rPr>
              <w:rPr>
                <w:rFonts w:ascii="Cambria Math" w:hAnsi="Cambria Math"/>
                <w:sz w:val="28"/>
                <w:szCs w:val="28"/>
              </w:rPr>
              <m:t>number of births</m:t>
            </m:r>
          </m:den>
        </m:f>
      </m:oMath>
      <w:r w:rsidRPr="002A4671">
        <w:rPr>
          <w:sz w:val="28"/>
          <w:szCs w:val="28"/>
        </w:rPr>
        <w:t xml:space="preserve"> </w:t>
      </w:r>
      <w:r w:rsidR="002A4671" w:rsidRPr="002A4671">
        <w:rPr>
          <w:sz w:val="28"/>
          <w:szCs w:val="28"/>
        </w:rPr>
        <w:t>X</w:t>
      </w:r>
      <w:r w:rsidR="002A4671">
        <w:rPr>
          <w:sz w:val="28"/>
          <w:szCs w:val="28"/>
        </w:rPr>
        <w:t>1, 000</w:t>
      </w:r>
    </w:p>
    <w:p w:rsidR="002A4671" w:rsidRDefault="002A4671" w:rsidP="006D5CF0">
      <w:pPr>
        <w:jc w:val="both"/>
        <w:rPr>
          <w:sz w:val="28"/>
          <w:szCs w:val="28"/>
        </w:rPr>
      </w:pPr>
    </w:p>
    <w:p w:rsidR="006C5629" w:rsidRDefault="002A4671" w:rsidP="002A4671">
      <w:pPr>
        <w:jc w:val="both"/>
        <w:rPr>
          <w:rFonts w:ascii="Helvetica" w:hAnsi="Helvetica" w:cs="Helvetica"/>
          <w:color w:val="000000"/>
          <w:sz w:val="32"/>
          <w:szCs w:val="32"/>
          <w:shd w:val="clear" w:color="auto" w:fill="FFFFFF"/>
        </w:rPr>
      </w:pPr>
      <w:r w:rsidRPr="002A4671">
        <w:rPr>
          <w:rFonts w:ascii="Helvetica" w:hAnsi="Helvetica" w:cs="Helvetica"/>
          <w:color w:val="000000"/>
          <w:sz w:val="32"/>
          <w:szCs w:val="32"/>
          <w:shd w:val="clear" w:color="auto" w:fill="FFFFFF"/>
        </w:rPr>
        <w:t>The NMR is a key outcome indicator for newborn care and directly reflects prenatal, intrapartum, and neona</w:t>
      </w:r>
      <w:r w:rsidRPr="002A4671">
        <w:rPr>
          <w:rFonts w:ascii="Helvetica" w:hAnsi="Helvetica" w:cs="Helvetica"/>
          <w:color w:val="000000"/>
          <w:sz w:val="32"/>
          <w:szCs w:val="32"/>
          <w:shd w:val="clear" w:color="auto" w:fill="FFFFFF"/>
        </w:rPr>
        <w:softHyphen/>
        <w:t>tal care. In addition, as infant mortality rates decline, the proportion of infant deaths that occur in the neona</w:t>
      </w:r>
      <w:r w:rsidRPr="002A4671">
        <w:rPr>
          <w:rFonts w:ascii="Helvetica" w:hAnsi="Helvetica" w:cs="Helvetica"/>
          <w:color w:val="000000"/>
          <w:sz w:val="32"/>
          <w:szCs w:val="32"/>
          <w:shd w:val="clear" w:color="auto" w:fill="FFFFFF"/>
        </w:rPr>
        <w:softHyphen/>
        <w:t xml:space="preserve">tal period typically increases. </w:t>
      </w:r>
    </w:p>
    <w:p w:rsidR="006C5629" w:rsidRDefault="006C5629" w:rsidP="002A4671">
      <w:pPr>
        <w:jc w:val="both"/>
        <w:rPr>
          <w:rFonts w:ascii="Helvetica" w:hAnsi="Helvetica" w:cs="Helvetica"/>
          <w:color w:val="000000"/>
          <w:sz w:val="32"/>
          <w:szCs w:val="32"/>
          <w:shd w:val="clear" w:color="auto" w:fill="FFFFFF"/>
        </w:rPr>
      </w:pPr>
      <w:r>
        <w:rPr>
          <w:rFonts w:ascii="Helvetica" w:hAnsi="Helvetica" w:cs="Helvetica"/>
          <w:color w:val="000000"/>
          <w:sz w:val="32"/>
          <w:szCs w:val="32"/>
          <w:shd w:val="clear" w:color="auto" w:fill="FFFFFF"/>
        </w:rPr>
        <w:lastRenderedPageBreak/>
        <w:t xml:space="preserve">                        </w:t>
      </w:r>
      <w:r w:rsidR="002A4671" w:rsidRPr="002A4671">
        <w:rPr>
          <w:rFonts w:ascii="Helvetica" w:hAnsi="Helvetica" w:cs="Helvetica"/>
          <w:color w:val="000000"/>
          <w:sz w:val="32"/>
          <w:szCs w:val="32"/>
          <w:shd w:val="clear" w:color="auto" w:fill="FFFFFF"/>
        </w:rPr>
        <w:t xml:space="preserve">The NMR differs from the </w:t>
      </w:r>
      <w:r w:rsidRPr="002A4671">
        <w:rPr>
          <w:rFonts w:ascii="Helvetica" w:hAnsi="Helvetica" w:cs="Helvetica"/>
          <w:color w:val="000000"/>
          <w:sz w:val="32"/>
          <w:szCs w:val="32"/>
          <w:shd w:val="clear" w:color="auto" w:fill="FFFFFF"/>
        </w:rPr>
        <w:t>prenatal</w:t>
      </w:r>
      <w:r w:rsidR="002A4671" w:rsidRPr="002A4671">
        <w:rPr>
          <w:rFonts w:ascii="Helvetica" w:hAnsi="Helvetica" w:cs="Helvetica"/>
          <w:color w:val="000000"/>
          <w:sz w:val="32"/>
          <w:szCs w:val="32"/>
          <w:shd w:val="clear" w:color="auto" w:fill="FFFFFF"/>
        </w:rPr>
        <w:t xml:space="preserve"> mortality rate in that it focuses only on deaths among live births and covers a longer period af</w:t>
      </w:r>
      <w:r w:rsidR="002A4671" w:rsidRPr="002A4671">
        <w:rPr>
          <w:rFonts w:ascii="Helvetica" w:hAnsi="Helvetica" w:cs="Helvetica"/>
          <w:color w:val="000000"/>
          <w:sz w:val="32"/>
          <w:szCs w:val="32"/>
          <w:shd w:val="clear" w:color="auto" w:fill="FFFFFF"/>
        </w:rPr>
        <w:softHyphen/>
        <w:t>ter birth. Information on live births is generally thought to be easier to obtain than information on non-live births and is more widely available, because many popula</w:t>
      </w:r>
      <w:r w:rsidR="002A4671" w:rsidRPr="002A4671">
        <w:rPr>
          <w:rFonts w:ascii="Helvetica" w:hAnsi="Helvetica" w:cs="Helvetica"/>
          <w:color w:val="000000"/>
          <w:sz w:val="32"/>
          <w:szCs w:val="32"/>
          <w:shd w:val="clear" w:color="auto" w:fill="FFFFFF"/>
        </w:rPr>
        <w:softHyphen/>
        <w:t>tion-based surveys such as the DHS typically only col</w:t>
      </w:r>
      <w:r w:rsidR="002A4671" w:rsidRPr="002A4671">
        <w:rPr>
          <w:rFonts w:ascii="Helvetica" w:hAnsi="Helvetica" w:cs="Helvetica"/>
          <w:color w:val="000000"/>
          <w:sz w:val="32"/>
          <w:szCs w:val="32"/>
          <w:shd w:val="clear" w:color="auto" w:fill="FFFFFF"/>
        </w:rPr>
        <w:softHyphen/>
        <w:t xml:space="preserve">lect information on live births. </w:t>
      </w:r>
    </w:p>
    <w:p w:rsidR="002A4671" w:rsidRDefault="006C5629" w:rsidP="002A4671">
      <w:pPr>
        <w:jc w:val="both"/>
        <w:rPr>
          <w:rFonts w:ascii="Helvetica" w:hAnsi="Helvetica" w:cs="Helvetica"/>
          <w:color w:val="000000"/>
          <w:sz w:val="32"/>
          <w:szCs w:val="32"/>
          <w:shd w:val="clear" w:color="auto" w:fill="FFFFFF"/>
        </w:rPr>
      </w:pPr>
      <w:r>
        <w:rPr>
          <w:rFonts w:ascii="Helvetica" w:hAnsi="Helvetica" w:cs="Helvetica"/>
          <w:color w:val="000000"/>
          <w:sz w:val="32"/>
          <w:szCs w:val="32"/>
          <w:shd w:val="clear" w:color="auto" w:fill="FFFFFF"/>
        </w:rPr>
        <w:t xml:space="preserve">                        </w:t>
      </w:r>
      <w:r w:rsidR="002A4671" w:rsidRPr="002A4671">
        <w:rPr>
          <w:rFonts w:ascii="Helvetica" w:hAnsi="Helvetica" w:cs="Helvetica"/>
          <w:color w:val="000000"/>
          <w:sz w:val="32"/>
          <w:szCs w:val="32"/>
          <w:shd w:val="clear" w:color="auto" w:fill="FFFFFF"/>
        </w:rPr>
        <w:t>Early neonatal deaths are more closely associated with pregnancy-related fac</w:t>
      </w:r>
      <w:r w:rsidR="002A4671" w:rsidRPr="002A4671">
        <w:rPr>
          <w:rFonts w:ascii="Helvetica" w:hAnsi="Helvetica" w:cs="Helvetica"/>
          <w:color w:val="000000"/>
          <w:sz w:val="32"/>
          <w:szCs w:val="32"/>
          <w:shd w:val="clear" w:color="auto" w:fill="FFFFFF"/>
        </w:rPr>
        <w:softHyphen/>
        <w:t>tors and maternal health, whereas late neonatal deaths are associated more with factors in the newborn‘s envi</w:t>
      </w:r>
      <w:r w:rsidR="002A4671" w:rsidRPr="002A4671">
        <w:rPr>
          <w:rFonts w:ascii="Helvetica" w:hAnsi="Helvetica" w:cs="Helvetica"/>
          <w:color w:val="000000"/>
          <w:sz w:val="32"/>
          <w:szCs w:val="32"/>
          <w:shd w:val="clear" w:color="auto" w:fill="FFFFFF"/>
        </w:rPr>
        <w:softHyphen/>
        <w:t>ronment.</w:t>
      </w:r>
    </w:p>
    <w:p w:rsidR="00D80059" w:rsidRDefault="00D80059" w:rsidP="00D80059">
      <w:pPr>
        <w:jc w:val="both"/>
        <w:rPr>
          <w:rFonts w:ascii="Helvetica" w:hAnsi="Helvetica" w:cs="Helvetica"/>
          <w:color w:val="000000"/>
          <w:sz w:val="32"/>
          <w:szCs w:val="32"/>
          <w:shd w:val="clear" w:color="auto" w:fill="FFFFFF"/>
        </w:rPr>
      </w:pPr>
      <w:r>
        <w:rPr>
          <w:rFonts w:ascii="Helvetica" w:hAnsi="Helvetica" w:cs="Helvetica"/>
          <w:color w:val="000000"/>
          <w:sz w:val="32"/>
          <w:szCs w:val="32"/>
          <w:shd w:val="clear" w:color="auto" w:fill="FFFFFF"/>
        </w:rPr>
        <w:t xml:space="preserve">                       </w:t>
      </w:r>
      <w:r w:rsidRPr="00D80059">
        <w:rPr>
          <w:rFonts w:ascii="Helvetica" w:hAnsi="Helvetica" w:cs="Helvetica"/>
          <w:color w:val="000000"/>
          <w:sz w:val="32"/>
          <w:szCs w:val="32"/>
          <w:shd w:val="clear" w:color="auto" w:fill="FFFFFF"/>
        </w:rPr>
        <w:t>The NMR is a key outcome indicator for newborn care and directly reflects prenatal, intrapartum, and neona</w:t>
      </w:r>
      <w:r w:rsidRPr="00D80059">
        <w:rPr>
          <w:rFonts w:ascii="Helvetica" w:hAnsi="Helvetica" w:cs="Helvetica"/>
          <w:color w:val="000000"/>
          <w:sz w:val="32"/>
          <w:szCs w:val="32"/>
          <w:shd w:val="clear" w:color="auto" w:fill="FFFFFF"/>
        </w:rPr>
        <w:softHyphen/>
        <w:t>tal care. In addition, as infant mortality rates decline, the proportion of infant deaths that occur in the neona</w:t>
      </w:r>
      <w:r w:rsidRPr="00D80059">
        <w:rPr>
          <w:rFonts w:ascii="Helvetica" w:hAnsi="Helvetica" w:cs="Helvetica"/>
          <w:color w:val="000000"/>
          <w:sz w:val="32"/>
          <w:szCs w:val="32"/>
          <w:shd w:val="clear" w:color="auto" w:fill="FFFFFF"/>
        </w:rPr>
        <w:softHyphen/>
        <w:t xml:space="preserve">tal period typically increases. </w:t>
      </w:r>
    </w:p>
    <w:p w:rsidR="00D80059" w:rsidRDefault="00D80059" w:rsidP="00D80059">
      <w:pPr>
        <w:jc w:val="both"/>
        <w:rPr>
          <w:rFonts w:ascii="Helvetica" w:hAnsi="Helvetica" w:cs="Helvetica"/>
          <w:color w:val="000000"/>
          <w:sz w:val="32"/>
          <w:szCs w:val="32"/>
          <w:shd w:val="clear" w:color="auto" w:fill="FFFFFF"/>
        </w:rPr>
      </w:pPr>
      <w:r>
        <w:rPr>
          <w:rFonts w:ascii="Helvetica" w:hAnsi="Helvetica" w:cs="Helvetica"/>
          <w:color w:val="000000"/>
          <w:sz w:val="32"/>
          <w:szCs w:val="32"/>
          <w:shd w:val="clear" w:color="auto" w:fill="FFFFFF"/>
        </w:rPr>
        <w:t xml:space="preserve">                        </w:t>
      </w:r>
      <w:r w:rsidRPr="00D80059">
        <w:rPr>
          <w:rFonts w:ascii="Helvetica" w:hAnsi="Helvetica" w:cs="Helvetica"/>
          <w:color w:val="000000"/>
          <w:sz w:val="32"/>
          <w:szCs w:val="32"/>
          <w:shd w:val="clear" w:color="auto" w:fill="FFFFFF"/>
        </w:rPr>
        <w:t>The NMR differs from the prenatal mortality rate in that it focuses only on deaths among live births and covers a longer period af</w:t>
      </w:r>
      <w:r w:rsidRPr="00D80059">
        <w:rPr>
          <w:rFonts w:ascii="Helvetica" w:hAnsi="Helvetica" w:cs="Helvetica"/>
          <w:color w:val="000000"/>
          <w:sz w:val="32"/>
          <w:szCs w:val="32"/>
          <w:shd w:val="clear" w:color="auto" w:fill="FFFFFF"/>
        </w:rPr>
        <w:softHyphen/>
        <w:t>ter birth. Information on live births is generally thought to be easier to obtain than information on non-live births and is more widely available, because many popula</w:t>
      </w:r>
      <w:r w:rsidRPr="00D80059">
        <w:rPr>
          <w:rFonts w:ascii="Helvetica" w:hAnsi="Helvetica" w:cs="Helvetica"/>
          <w:color w:val="000000"/>
          <w:sz w:val="32"/>
          <w:szCs w:val="32"/>
          <w:shd w:val="clear" w:color="auto" w:fill="FFFFFF"/>
        </w:rPr>
        <w:softHyphen/>
        <w:t>tion-based surveys such as the DHS typically only col</w:t>
      </w:r>
      <w:r w:rsidRPr="00D80059">
        <w:rPr>
          <w:rFonts w:ascii="Helvetica" w:hAnsi="Helvetica" w:cs="Helvetica"/>
          <w:color w:val="000000"/>
          <w:sz w:val="32"/>
          <w:szCs w:val="32"/>
          <w:shd w:val="clear" w:color="auto" w:fill="FFFFFF"/>
        </w:rPr>
        <w:softHyphen/>
        <w:t xml:space="preserve">lect information on live births. </w:t>
      </w:r>
    </w:p>
    <w:p w:rsidR="00D80059" w:rsidRDefault="00D80059" w:rsidP="00D80059">
      <w:pPr>
        <w:jc w:val="both"/>
        <w:rPr>
          <w:rFonts w:ascii="Helvetica" w:hAnsi="Helvetica" w:cs="Helvetica"/>
          <w:color w:val="000000"/>
          <w:sz w:val="32"/>
          <w:szCs w:val="32"/>
          <w:shd w:val="clear" w:color="auto" w:fill="FFFFFF"/>
        </w:rPr>
      </w:pPr>
      <w:r>
        <w:rPr>
          <w:rFonts w:ascii="Helvetica" w:hAnsi="Helvetica" w:cs="Helvetica"/>
          <w:color w:val="000000"/>
          <w:sz w:val="32"/>
          <w:szCs w:val="32"/>
          <w:shd w:val="clear" w:color="auto" w:fill="FFFFFF"/>
        </w:rPr>
        <w:t xml:space="preserve">                        </w:t>
      </w:r>
      <w:r w:rsidRPr="00D80059">
        <w:rPr>
          <w:rFonts w:ascii="Helvetica" w:hAnsi="Helvetica" w:cs="Helvetica"/>
          <w:color w:val="000000"/>
          <w:sz w:val="32"/>
          <w:szCs w:val="32"/>
          <w:shd w:val="clear" w:color="auto" w:fill="FFFFFF"/>
        </w:rPr>
        <w:t>Early neonatal deaths are more closely associated with pregnancy-related fac</w:t>
      </w:r>
      <w:r w:rsidRPr="00D80059">
        <w:rPr>
          <w:rFonts w:ascii="Helvetica" w:hAnsi="Helvetica" w:cs="Helvetica"/>
          <w:color w:val="000000"/>
          <w:sz w:val="32"/>
          <w:szCs w:val="32"/>
          <w:shd w:val="clear" w:color="auto" w:fill="FFFFFF"/>
        </w:rPr>
        <w:softHyphen/>
        <w:t>tors and maternal health, whereas late neonatal deaths are associated more with factors in the newborn‘s envi</w:t>
      </w:r>
      <w:r w:rsidRPr="00D80059">
        <w:rPr>
          <w:rFonts w:ascii="Helvetica" w:hAnsi="Helvetica" w:cs="Helvetica"/>
          <w:color w:val="000000"/>
          <w:sz w:val="32"/>
          <w:szCs w:val="32"/>
          <w:shd w:val="clear" w:color="auto" w:fill="FFFFFF"/>
        </w:rPr>
        <w:softHyphen/>
        <w:t>ronment.</w:t>
      </w:r>
    </w:p>
    <w:p w:rsidR="00D80059" w:rsidRDefault="00D80059" w:rsidP="00D80059">
      <w:pPr>
        <w:jc w:val="both"/>
        <w:rPr>
          <w:rFonts w:ascii="Helvetica" w:hAnsi="Helvetica" w:cs="Helvetica"/>
          <w:color w:val="000000"/>
          <w:sz w:val="32"/>
          <w:szCs w:val="32"/>
          <w:shd w:val="clear" w:color="auto" w:fill="FFFFFF"/>
        </w:rPr>
      </w:pPr>
    </w:p>
    <w:p w:rsidR="00D80059" w:rsidRDefault="00D80059" w:rsidP="00D80059">
      <w:pPr>
        <w:jc w:val="both"/>
        <w:rPr>
          <w:rFonts w:ascii="Helvetica" w:hAnsi="Helvetica" w:cs="Helvetica"/>
          <w:color w:val="000000"/>
          <w:sz w:val="32"/>
          <w:szCs w:val="32"/>
          <w:shd w:val="clear" w:color="auto" w:fill="FFFFFF"/>
        </w:rPr>
      </w:pPr>
    </w:p>
    <w:p w:rsidR="00D80059" w:rsidRDefault="00D80059" w:rsidP="00D80059">
      <w:pPr>
        <w:jc w:val="both"/>
        <w:rPr>
          <w:rFonts w:ascii="Helvetica" w:hAnsi="Helvetica" w:cs="Helvetica"/>
          <w:color w:val="000000"/>
          <w:sz w:val="32"/>
          <w:szCs w:val="32"/>
          <w:shd w:val="clear" w:color="auto" w:fill="FFFFFF"/>
        </w:rPr>
      </w:pPr>
      <w:r>
        <w:rPr>
          <w:rFonts w:ascii="Helvetica" w:hAnsi="Helvetica" w:cs="Helvetica"/>
          <w:color w:val="000000"/>
          <w:sz w:val="32"/>
          <w:szCs w:val="32"/>
          <w:shd w:val="clear" w:color="auto" w:fill="FFFFFF"/>
        </w:rPr>
        <w:lastRenderedPageBreak/>
        <w:t xml:space="preserve">Reference: </w:t>
      </w:r>
    </w:p>
    <w:p w:rsidR="00D80059" w:rsidRDefault="00D80059" w:rsidP="00D80059">
      <w:pPr>
        <w:jc w:val="both"/>
        <w:rPr>
          <w:sz w:val="32"/>
          <w:szCs w:val="32"/>
        </w:rPr>
      </w:pPr>
      <w:r w:rsidRPr="00D80059">
        <w:rPr>
          <w:rFonts w:ascii="Helvetica" w:hAnsi="Helvetica" w:cs="Helvetica"/>
          <w:color w:val="000000"/>
          <w:sz w:val="32"/>
          <w:szCs w:val="32"/>
          <w:shd w:val="clear" w:color="auto" w:fill="FFFFFF"/>
        </w:rPr>
        <w:t xml:space="preserve">  </w:t>
      </w:r>
      <w:hyperlink r:id="rId5" w:history="1">
        <w:r w:rsidRPr="00D80059">
          <w:rPr>
            <w:rStyle w:val="Hyperlink"/>
            <w:sz w:val="32"/>
            <w:szCs w:val="32"/>
          </w:rPr>
          <w:t>https://www.measureevaluation.org/prh/rh_indicators/womens-health/nb/neonatal-mortality-rate-nmr</w:t>
        </w:r>
      </w:hyperlink>
    </w:p>
    <w:p w:rsidR="00D80059" w:rsidRPr="00D80059" w:rsidRDefault="00D80059" w:rsidP="00D80059">
      <w:pPr>
        <w:jc w:val="both"/>
        <w:rPr>
          <w:rFonts w:ascii="Helvetica" w:hAnsi="Helvetica" w:cs="Helvetica"/>
          <w:color w:val="000000"/>
          <w:sz w:val="32"/>
          <w:szCs w:val="32"/>
          <w:shd w:val="clear" w:color="auto" w:fill="FFFFFF"/>
        </w:rPr>
      </w:pPr>
      <w:r>
        <w:rPr>
          <w:sz w:val="32"/>
          <w:szCs w:val="32"/>
        </w:rPr>
        <w:t xml:space="preserve"> </w:t>
      </w:r>
      <w:hyperlink r:id="rId6" w:anchor=":~:text=Infant%20mortality%20rate%20(IMR)%20is,the%20year%2C%20multiplied%20by%201%2C000." w:history="1">
        <w:r w:rsidRPr="00D80059">
          <w:rPr>
            <w:rStyle w:val="Hyperlink"/>
            <w:sz w:val="32"/>
            <w:szCs w:val="32"/>
          </w:rPr>
          <w:t>https://en.wikipedia.org/wiki/Infant_mortality#:~:text=Infant%20mortality%20rate%20(IMR)%20is,the%20year%2C%20multiplied%20by%201%2C000.</w:t>
        </w:r>
      </w:hyperlink>
    </w:p>
    <w:p w:rsidR="00D80059" w:rsidRPr="00D80059" w:rsidRDefault="00D80059" w:rsidP="00D80059">
      <w:pPr>
        <w:jc w:val="both"/>
        <w:rPr>
          <w:rFonts w:ascii="Helvetica" w:hAnsi="Helvetica" w:cs="Helvetica"/>
          <w:color w:val="000000"/>
          <w:sz w:val="32"/>
          <w:szCs w:val="32"/>
          <w:shd w:val="clear" w:color="auto" w:fill="FFFFFF"/>
        </w:rPr>
      </w:pPr>
    </w:p>
    <w:sectPr w:rsidR="00D80059" w:rsidRPr="00D80059" w:rsidSect="00DE6F9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55A54"/>
    <w:rsid w:val="002A4671"/>
    <w:rsid w:val="006C5629"/>
    <w:rsid w:val="006D5CF0"/>
    <w:rsid w:val="00B873C2"/>
    <w:rsid w:val="00D80059"/>
    <w:rsid w:val="00D836E4"/>
    <w:rsid w:val="00DE6F9D"/>
    <w:rsid w:val="00F55A5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F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5A54"/>
    <w:rPr>
      <w:color w:val="808080"/>
    </w:rPr>
  </w:style>
  <w:style w:type="paragraph" w:styleId="BalloonText">
    <w:name w:val="Balloon Text"/>
    <w:basedOn w:val="Normal"/>
    <w:link w:val="BalloonTextChar"/>
    <w:uiPriority w:val="99"/>
    <w:semiHidden/>
    <w:unhideWhenUsed/>
    <w:rsid w:val="00F55A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A54"/>
    <w:rPr>
      <w:rFonts w:ascii="Tahoma" w:hAnsi="Tahoma" w:cs="Tahoma"/>
      <w:sz w:val="16"/>
      <w:szCs w:val="16"/>
    </w:rPr>
  </w:style>
  <w:style w:type="character" w:styleId="Hyperlink">
    <w:name w:val="Hyperlink"/>
    <w:basedOn w:val="DefaultParagraphFont"/>
    <w:uiPriority w:val="99"/>
    <w:semiHidden/>
    <w:unhideWhenUsed/>
    <w:rsid w:val="00D836E4"/>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Infant_mortality" TargetMode="External"/><Relationship Id="rId5" Type="http://schemas.openxmlformats.org/officeDocument/2006/relationships/hyperlink" Target="https://www.measureevaluation.org/prh/rh_indicators/womens-health/nb/neonatal-mortality-rate-nmr" TargetMode="External"/><Relationship Id="rId4" Type="http://schemas.openxmlformats.org/officeDocument/2006/relationships/hyperlink" Target="https://en.wikipedia.org/wiki/World_Health_Organ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4</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2020-08-16T07:09:00Z</dcterms:created>
  <dcterms:modified xsi:type="dcterms:W3CDTF">2020-08-18T17:02:00Z</dcterms:modified>
</cp:coreProperties>
</file>