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Análisis Estratégico y Evaluación del Macroentorno (PESTEL) para el Desarrollo Industrial de Panificados Libres de Gluten en Argentina</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transición estructural hacia patrones de consumo centrados en el bienestar integral, la salud preventiva y la personalización nutricional ha reconfigurado de manera irreversible la arquitectura de la industria alimentaria, tanto a escala global como en la República Argentina. El proyecto bajo escrutinio, enfocado en la producción a escala industrial y comercialización de una línea de alimentos libres de gluten (Sin TACC), libres de alérgenos y de formulación estrictamente vegana (basada en endulzantes naturales), se inserta en un ecosistema de altísima complejidad técnica, regulatoria y comercial.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La decisión estratégica de operar una planta industrial cien por ciento aislada y dedicada en el Parque Industrial Garín (Provincia de Buenos Aires), bajo una dinámica B2B2C orientada a distribuidores mayoristas, cadenas de supermercados, dietéticas y canales farmacéuticos, requiere una comprensión clínica y multidimensional de las fuerzas exógenas que condicionarán la viabilidad a largo plazo y la tasa interna de retorno (TIR) proyectada en un 35%.</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presente informe técnico desarrolla una investigación profunda y un análisis crítico exhaustivo del macroentorno argentino en el segundo trimestre del año 2026, utilizando la metodología estructurada de la matriz PESTEL. El objetivo central de este documento es diseccionar con máxima granularidad las variables políticas, legales, económicas, sociales, tecnológicas y ecológicas para extraer conocimientos de segundo y tercer orden, superando la mera descripción fáctica. Se examinarán las complejas interrelaciones entre el denso entramado normativo, las fricciones macroeconómicas que dictan la contracción del poder adquisitivo, las disrupciones biotecnológicas en la reología de las masas sin gluten y los recientes y estrictos marcos de cumplimiento ambiental dictados para la jurisdicción bonaerense. El resultado de esta investigación culminará en la síntesis estratégica de las tres oportunidades más significativas y las tres amenazas más críticas que dictarán la resiliencia del flujo de fondos proyectado, sirviendo como fundamento empírico ineludible para la construcción de la matriz FODA corporativa.</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Entorno Político y Legal</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panorama institucional y regulatorio argentino para la industria manufacturera alimentaria, y de manera hiperespecífica para el nicho de los productos catalogados como libres de gluten, se caracteriza por una densa, superpuesta y estricta red de normativas. Este marco gubernamental busca proteger la salud pública de poblaciones vulnerables, pero simultáneamente impone rigurosos estándares de cumplimiento, auditoría y trazabilidad a los fabricantes. En consecuencia, la regulación actúa transversalmente como una severa barrera de entrada para competidores informales y como un pesado vector de costos operativos fijos para los actores industrializados formales.</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Regulaciones del Código Alimentario Argentino (CAA) y Certificación ANMAT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producción, fraccionamiento, almacenamiento y comercialización de alimentos libres de gluten en el territorio de la República Argentina está imperativamente regulada por el Código Alimentario Argentino (CAA), cuyo Capítulo IX clasifica, define y establece las exigencias técnicas y analíticas para los cereales, las harinas y sus derivados.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Para que una empresa pueda manufacturar y comercializar cualquier producto que ostente el logotipo oficial y la condición legal de "Sin TACC" (Sin Trigo, Avena, Cebada y Centeno), requiere la tramitación, auditoría y obtención previa y excluyente del Registro Nacional de Establecimiento (RNE) y el Registro Nacional de Producto Alimenticio (RNPA).</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Estos instrumentos son emitidos y fiscalizados por la Administración Nacional de Medicamentos, Alimentos y Tecnología Médica (ANMAT) a través del Instituto Nacional de Alimentos (INAL) y las autoridades bromatológicas jurisdiccionales.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lograr la certificación oficial, el marco normativo argentino es uno de los más inflexibles a nivel mundial. Exige la demostración analítica, empírica y documentada lote a lote de la ausencia de prolaminas tóxicas, admitiendo un umbral máximo de tolerancia de apenas 10 miligramos de gluten por kilogramo de producto final (10 ppm), en contraste con el límite de 20 ppm aceptado por el Codex Alimentarius y la FDA en los Estados Unidos.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proyecto evalúa acertadamente la radicación de una planta cien por ciento dedicada y físicamente aislada en el Parque Industrial Garín.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Desde la perspectiva del análisis regulatorio y legal, esta decisión de infraestructura estratégica mitiga radicalmente los riesgos jurídicos asociados a la evaluación y fiscalización de las Guías de Buenas Prácticas de Manufactura (BPM) específicas para Establecimientos Elaboradores de Alimentos Libres de Gluten delineadas por la ANMAT.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Al no compartir instalaciones, líneas de extrusión, amasadoras, hornos de túnel ni sistemas de ventilación con productos convencionales que contienen gluten, se simplifican enormemente los protocolos de validación de limpieza (CIP/COP) exigidos por la autoridad sanitaria.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Esta simplificación infraestructural acelera potencialmente los tiempos de aprobación administrativa de los expedientes del RNPA, los cuales suelen sufrir demoras burocráticas críticas que retrasan la curva de arranque y el inicio del flujo de ingresos proyectado en el cronograma de Gantt.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Adicionalmente, la inclusión final en el Listado Integrado Oficial de Alimentos Libres de Gluten (ALG) de la ANMAT es un requisito legal insoslayable e ineludible para habilitar la comercialización B2B en canales formales, como las grandes superficies de hipermercados y, especialmente, los canales farmacéuticos.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Fase Regulatoria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Entidad Competente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Requisito Principal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Implicancia Estratégica para el Proyecto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Inscripción de Planta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Ministerio de Salud Provincial / ANMAT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Obtención del RNE (Registro Nacional de Establecimiento) demostrando flujos de aire y exclusividad.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Al ser una planta 100% aislada, se reducen las fricciones de inspección de contaminación cruzada.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Aprobación de Producto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INAL / ANMAT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Obtención del RNPA (Registro Nacional de Producto Alimenticio) con análisis de laboratorio &lt; 10 ppm.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Cuello de botella temporal. Demoras administrativas pueden retrasar el lanzamiento del Año 1.</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Inclusión Comercial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ANMAT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Presencia en el Listado Oficial ALG vigente.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Condición </w:t>
            </w:r>
            <w:r w:rsidDel="00000000" w:rsidR="00000000" w:rsidRPr="00000000">
              <w:rPr>
                <w:rFonts w:ascii="Google Sans" w:cs="Google Sans" w:eastAsia="Google Sans" w:hAnsi="Google Sans"/>
                <w:i w:val="1"/>
                <w:iCs w:val="1"/>
                <w:color w:val="1f1f1f"/>
                <w:shd w:fill="auto" w:val="clear"/>
                <w:rtl w:val="0"/>
              </w:rPr>
              <w:t xml:space="preserve">sine qua non</w:t>
            </w:r>
            <w:r w:rsidDel="00000000" w:rsidR="00000000" w:rsidRPr="00000000">
              <w:rPr>
                <w:rFonts w:ascii="Google Sans" w:cs="Google Sans" w:eastAsia="Google Sans" w:hAnsi="Google Sans"/>
                <w:color w:val="1f1f1f"/>
                <w:shd w:fill="auto" w:val="clear"/>
                <w:rtl w:val="0"/>
              </w:rPr>
              <w:t xml:space="preserve"> para ingresar al canal farmacéutico y ser reconocido por Obras Sociales.</w:t>
            </w:r>
          </w:p>
        </w:tc>
      </w:tr>
    </w:tbl>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Impacto de la Ley Celíaca y Políticas de Subsidios a la Demanda</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ecosistema comercial y el tamaño del mercado direccionable (TAM) para los productos Sin TACC en Argentina se encuentra fuertemente respaldado y expandido por la Ley Nacional N° 26.588, conocida como la "Ley Celíaca", y su posterior actualización y ampliación a través de la Ley N° 27.196.</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Esta robusta legislación declara de interés nacional el abordaje integral, la detección epidemiológica y el tratamiento de la enfermedad celíaca.</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El pilar económico de esta ley radica en la imposición de una obligación legal ineludible a las obras sociales nacionales, el PAMI, las empresas de medicina prepaga y todas las entidades que brinden servicios médicos asistenciales, de proporcionar cobertura financiera a sus afiliados diagnosticados para la adquisición de harinas, premezclas y alimentos industrializados libres de gluten.</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reglamentación vigente y perfeccionada a través del Decreto Reglamentario N° 218/2023 instituyó una metodología de actualización periódica, matemática y previsible de esta prestación dineraria.</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La fórmula legal establece que la cobertura debe ser equivalente al 27,5% del valor monetario de la Canasta Básica Alimentaria (CBA) para un adulto equivalente (entre 30 y 60 años), con actualizaciones automáticas de frecuencia semestral basadas en las variaciones del Índice de Precios al Consumidor (IPC) del Instituto Nacional de Estadística y Censos (INDEC).</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A modo de referencia histórica, a fines del año 2023 este monto superaba los $13.160 mensuales por paciente.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Dada la severa dinámica inflacionaria y los reajustes de precios relativos atravesados por la economía argentina, la cifra actualizada a mediados de 2026 representa una inyección de liquidez dirigida, indexada y garantizada directamente en el presupuesto alimentario del consumidor final.</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Este andamiaje legal protector genera una externalidad macroeconómica sumamente positiva y estabilizadora para el flujo de fondos del proyecto. Al subsidiar parcialmente la brecha estructural de costos existente entre los alimentos farináceos convencionales y los panificados libres de gluten, el Estado nacional y el sistema de salud privado actúan como poderosos amortiguadores de la elasticidad precio de la demanda.</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Esta política pública asegura que la base cautiva primaria de consumidores celíacos diagnosticados —estimada conservadoramente en el documento del proyecto en más de 460.000 individuos— mantenga un piso de consumo resiliente y estable, brindando una capa de protección financiera y predecibilidad volumétrica al modelo de negocios, incluso frente a caídas drásticas del salario real o recesiones de la demanda agregada.</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Fricciones Estratégicas y Riesgos de la Ley de Etiquetado Frontal</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Una de las intersecciones legales más críticas, complejas y que representa una amenaza latente profunda para el posicionamiento mercadológico del proyecto es la aplicación de la Ley N° 27.642 de Promoción de la Alimentación Saludable, universalmente conocida en el sector como la Ley de Etiquetado Frontal.</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El proyecto basa el núcleo de su propuesta de valor agregada y su estrategia de diferenciación comercial en el diseño de una línea de panificados dulces (como las galletitas estilo chocolinas, polvorones, pepas y budines saborizados) endulzados naturalmente.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La documentación del proyecto menciona expresamente y de manera reiterada la utilización de matrices como pasta de pasas de uva, miel y dátiles para reemplazar total o parcialmente los azúcares refinados de caña o los jarabes de maíz de alta fructosa (JMAF).</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El objetivo intrínseco e inteligente de esta formulación es atraer no solo al paciente celíaco, sino capturar a una demanda periférica expansiva (consumidores </w:t>
      </w:r>
      <w:r w:rsidDel="00000000" w:rsidR="00000000" w:rsidRPr="00000000">
        <w:rPr>
          <w:rFonts w:ascii="Google Sans" w:cs="Google Sans" w:eastAsia="Google Sans" w:hAnsi="Google Sans"/>
          <w:i w:val="1"/>
          <w:iCs w:val="1"/>
          <w:color w:val="1f1f1f"/>
          <w:rtl w:val="0"/>
        </w:rPr>
        <w:t xml:space="preserve">plant-based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fitness</w:t>
      </w:r>
      <w:r w:rsidDel="00000000" w:rsidR="00000000" w:rsidRPr="00000000">
        <w:rPr>
          <w:rFonts w:ascii="Google Sans" w:cs="Google Sans" w:eastAsia="Google Sans" w:hAnsi="Google Sans"/>
          <w:color w:val="1f1f1f"/>
          <w:rtl w:val="0"/>
        </w:rPr>
        <w:t xml:space="preserve">, y buscadores de etiqueta limpia o </w:t>
      </w:r>
      <w:r w:rsidDel="00000000" w:rsidR="00000000" w:rsidRPr="00000000">
        <w:rPr>
          <w:rFonts w:ascii="Google Sans" w:cs="Google Sans" w:eastAsia="Google Sans" w:hAnsi="Google Sans"/>
          <w:i w:val="1"/>
          <w:iCs w:val="1"/>
          <w:color w:val="1f1f1f"/>
          <w:rtl w:val="0"/>
        </w:rPr>
        <w:t xml:space="preserve">clean label</w:t>
      </w:r>
      <w:r w:rsidDel="00000000" w:rsidR="00000000" w:rsidRPr="00000000">
        <w:rPr>
          <w:rFonts w:ascii="Google Sans" w:cs="Google Sans" w:eastAsia="Google Sans" w:hAnsi="Google Sans"/>
          <w:color w:val="1f1f1f"/>
          <w:rtl w:val="0"/>
        </w:rPr>
        <w:t xml:space="preserve">) evitando la percepción toxicológica y negativa que conllevan los sellos de advertencia frontales.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Sin embargo, el análisis pericial de la normativa complementaria y las recientes y controvertidas actualizaciones emitidas por el Ministerio de Salud revelan un obstáculo técnico-legal de primera magnitud. Mediante disposiciones recientes (como la Disposición ANMAT 11362/2024 y accesorias) y las sucesivas revisiones del Manual de Aplicación del Decreto 151/22, la autoridad de aplicación ha endurecido y clarificado de manera estricta los criterios bioquímicos para el Sistema de Perfil de Nutrientes (SPN).</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La reglamentación y la jurisprudencia administrativa establecen inequívocamente que la incorporación industrial de ingredientes vegetales que contengan azúcares intrínsecos, pero que sean añadidos a la matriz alimentaria con el propósito tecnológico y funcional principal de endulzar el producto final (tales como las pastas de frutas desecadas, concentrados de jugos frutales, melazas, jarabes de agave, miel o concentrado de dátiles), contabilizan bromatológicamente como "azúcares añadidos" al momento de calcular el porcentaje energético del macronutriente.</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Dado que la arquitectura de la ley exige punitivamente que un alimento porte el octógono negro advirtiendo "Exceso en Azúcares" si el aporte calórico exclusivo de dichos azúcares (incluyendo los provenientes de la pasta de dátil) supera el 10% del valor energético total de la porción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las formulaciones propuestas por el equipo de ingeniería para las galletitas y budines se encuentran en un riesgo altísimo e inminente de ser obligadas a exhibir el sello.</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presencia impuesta de este sello no solo devalúa sustancialmente la estrategia de marketing "100% natural y saludable", sino que desencadena prohibiciones legales conexas sumamente restrictivas:</w:t>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Prohíbe legalmente al producto incorporar </w:t>
      </w:r>
      <w:r w:rsidDel="00000000" w:rsidR="00000000" w:rsidRPr="00000000">
        <w:rPr>
          <w:rFonts w:ascii="Google Sans" w:cs="Google Sans" w:eastAsia="Google Sans" w:hAnsi="Google Sans"/>
          <w:i w:val="1"/>
          <w:iCs w:val="1"/>
          <w:color w:val="1f1f1f"/>
          <w:rtl w:val="0"/>
        </w:rPr>
        <w:t xml:space="preserve">claims</w:t>
      </w:r>
      <w:r w:rsidDel="00000000" w:rsidR="00000000" w:rsidRPr="00000000">
        <w:rPr>
          <w:rFonts w:ascii="Google Sans" w:cs="Google Sans" w:eastAsia="Google Sans" w:hAnsi="Google Sans"/>
          <w:color w:val="1f1f1f"/>
          <w:rtl w:val="0"/>
        </w:rPr>
        <w:t xml:space="preserve"> o declaraciones de propiedades nutricionales o funcionales complementarias en su envase.</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Prohíbe la comercialización, ofrecimiento y exhibición del producto en cantinas, kioscos y entornos de establecimientos educativos de nivel inicial, primario y secundario del sistema escolar, eliminando un canal B2C de enorme rotación para la categoría de </w:t>
      </w:r>
      <w:r w:rsidDel="00000000" w:rsidR="00000000" w:rsidRPr="00000000">
        <w:rPr>
          <w:rFonts w:ascii="Google Sans" w:cs="Google Sans" w:eastAsia="Google Sans" w:hAnsi="Google Sans"/>
          <w:i w:val="1"/>
          <w:iCs w:val="1"/>
          <w:color w:val="1f1f1f"/>
          <w:rtl w:val="0"/>
        </w:rPr>
        <w:t xml:space="preserve">snacks</w:t>
      </w:r>
      <w:r w:rsidDel="00000000" w:rsidR="00000000" w:rsidRPr="00000000">
        <w:rPr>
          <w:rFonts w:ascii="Google Sans" w:cs="Google Sans" w:eastAsia="Google Sans" w:hAnsi="Google Sans"/>
          <w:color w:val="1f1f1f"/>
          <w:rtl w:val="0"/>
        </w:rPr>
        <w:t xml:space="preserve"> y galletitas.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Veda la posibilidad de realizar campañas de patrocinio, publicidad y promoción orientadas específicamente a la captación de público infantil.</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Esta dura realidad legal forzará a la gerencia técnica y al equipo de investigación y desarrollo (I+D) a tomar una decisión binaria: realizar una ingeniería de re-formulación intensiva e iterativa, diluyendo las proporciones de dátiles e incorporando polialcoholes o edulcorantes no nutritivos (lo cual a su vez obligaría a portar una leyenda precautoria advirtiendo "Contiene edulcorantes, no recomendable en niños"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o bien aceptar estratégicamente la portación ineludible del sello negro y re-direccionar el enfoque comunicacional, asumiendo la potencial pérdida temporal de una porción del mercado objetivo motivado puramente por la obsesión con la etiqueta inmaculada.</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Incentivos Fiscales para Inversiones y el Régimen para MiPyMEs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 el ámbito fiscal y de promoción industrial, la formulación y ejecución del proyecto para el año 2026 se ve significativamente favorecida por la prolongación y profundización de las políticas macroeconómicas de fomento a la agregación de valor y la inversión en bienes de capital. El marco normativo y legal incluye beneficios sólidamente consolidados bajo la Ley PyME y el marco ampliado del reciente Régimen de Inversiones para Micro, Pequeñas y Medianas Empresas (RIMI), reglamentado durante el primer cuatrimestre de 2026.</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Este régimen promotor estipula que las micro y pequeñas empresas que califiquen y realicen inversiones productivas en activos tangibles que superen el umbral de los 150.000 y 600.000 dólares estadounidenses, respectivamente, puedan acceder a una batería de beneficios fiscales de altísimo valor estratégico para la estructuración financiera inicial.</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Considerando que el desglose de inversiones del proyecto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detalla una inyección de capital inicial en activos fijos (construcción de la nave industrial en Garín, ejecución de obras civiles complementarias y adquisición de maquinarias operativas importadas y nacionales) que asciende a aproximadamente 1.779 millones de pesos argentinos (monto que supera holgadamente los pisos requeridos según la paridad cambiaria de referencia), el proyecto es un candidato ideal para ser beneficiario de estos marcos.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Entre los beneficios impositivos de mayor impacto para mejorar el Valor Actual Neto (VAN) estimado en $1.319 millones y acelerar el recupero de la inversión (Payback) estimado en 3 años y 259 días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se destacan:</w:t>
      </w:r>
    </w:p>
    <w:p w:rsidR="00000000" w:rsidDel="00000000" w:rsidP="00000000" w:rsidRDefault="00000000" w:rsidRPr="00000000" w14:paraId="0000002C">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Amortización Acelerada:</w:t>
      </w:r>
      <w:r w:rsidDel="00000000" w:rsidR="00000000" w:rsidRPr="00000000">
        <w:rPr>
          <w:rFonts w:ascii="Google Sans" w:cs="Google Sans" w:eastAsia="Google Sans" w:hAnsi="Google Sans"/>
          <w:color w:val="1f1f1f"/>
          <w:rtl w:val="0"/>
        </w:rPr>
        <w:t xml:space="preserve"> Permite depreciar los bienes de uso (como el horno túnel, las amasadoras industriales y las líneas Flow Pack) en plazos drásticamente reducidos para el cálculo del Impuesto a las Ganancias, reduciendo la base imponible y blindando el flujo de caja operativo durante la fase de penetración de mercado (Años 1 al 3).</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2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Devolución Técnica de Saldos a Favor del IVA:</w:t>
      </w:r>
      <w:r w:rsidDel="00000000" w:rsidR="00000000" w:rsidRPr="00000000">
        <w:rPr>
          <w:rFonts w:ascii="Google Sans" w:cs="Google Sans" w:eastAsia="Google Sans" w:hAnsi="Google Sans"/>
          <w:color w:val="1f1f1f"/>
          <w:rtl w:val="0"/>
        </w:rPr>
        <w:t xml:space="preserve"> Facilita la recuperación acelerada del crédito fiscal acumulado durante la fase de construcción de la planta (Año -1) y la adquisición de bienes de capital importados, evitando que la inmovilización de ese capital opere como un costo hundido financiero.</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2E">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Compensación de Contribuciones Patronales:</w:t>
      </w:r>
      <w:r w:rsidDel="00000000" w:rsidR="00000000" w:rsidRPr="00000000">
        <w:rPr>
          <w:rFonts w:ascii="Google Sans" w:cs="Google Sans" w:eastAsia="Google Sans" w:hAnsi="Google Sans"/>
          <w:color w:val="1f1f1f"/>
          <w:rtl w:val="0"/>
        </w:rPr>
        <w:t xml:space="preserve"> El esquema contempla alícuotas diferenciales para el pago de cargas sociales, un factor de alivio crítico considerando que el organigrama del proyecto prevé la contratación de una plantilla inicial de 55 empleados (con un costo laboral anual proyectado de más de $1.356 millones de pesos).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Entorno Económico</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macroentorno económico argentino funciona como el árbitro definitivo que condiciona las variables de rentabilidad operativa, la volatilidad de la estructura de costos directos e indirectos y la proyección de la demanda agregada del proyecto. Diseñar, fondear y operar una planta industrial para una línea de productos premium con alto valor agregado tecnológico en un contexto histórico de restricción monetaria, ajuste fiscal y estanflación exige una lectura casi quirúrgica de las tendencias macroeconómicas y los comportamientos microeconómicos de los hogares.</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Dinámica Macroeconómica, Inflación y Contracción del Poder Adquisitivo</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Hacia el segundo trimestre del año 2026, la matriz económica argentina evidencia un panorama complejo y transicional, caracterizado por signos tangibles de desaceleración progresiva en la tasa de inflación mensual, pero arrastrando una inercia de inflación núcleo persistente que ha erosionado severamente el poder adquisitivo de los salarios reales de la clase media y baja.</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Los programas de corrección de precios relativos impulsados por la administración gubernamental, la fuerte actualización de los cuadros tarifarios de servicios públicos regulados (especialmente energía eléctrica, gas industrial y residencial, y transporte urbano) y el consecuente encarecimiento del costo de vida rígido han modificado radicalmente la matriz de asignación del presupuesto de los hogares argentinos.</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Analistas de mercado, cámaras supermercadistas y firmas consultoras globales especializadas en consumo como Nielsen destacan, mediante datos estadísticos incontrastables, que existe una correlación inversa y casi lineal entre el abrupto aumento del costo del transporte y las tarifas de servicios públicos con la caída en picada de los volúmenes de consumo masivo.</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El consumidor se ve forzado a destinar una porción mayoritaria de sus ingresos fijos a cubrir necesidades ineludibles, secando la liquidez previamente destinada a bienes de consumo no durables y alimentos premium.</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Esta retracción estructural transforma la naturaleza misma del consumo de alimentos procesados, el cual migra forzosamente de ser un acto "aspiracional" e impulsivo a uno estrictamente "funcional" y restrictivo.</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Para un proyecto empresarial que posiciona sus galletitas, budines y panificados libres de gluten a precios de referencia mayoristas que oscilan en la banda premium alta de entre los $10.500 y $13.700 por kilogramo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este entorno macroeconómico representa el riesgo volumétrico más sustancial y una amenaza latente a la proyección de ventas constantes de 384 toneladas anuales.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Aunque la porción demográfica del mercado con diagnóstico formal de enfermedad celíaca mantendrá su demanda base por una necesidad clínica imperativa e inelástica (soportada en parte por la subvención legal de las prepagas descrita en la dimensión político-legal)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el "mercado secundario" periférico es altamente vulnerable.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Este mercado ampliado —compuesto por individuos que optan por consumir productos sin TACC motivados por preferencias de estilo de vida, adopción de dietas flexitarianas o percepción general de salubridad— presenta una altísima elasticidad ingreso de la demanda. Ante recesiones económicas agudas o pérdida de poder de compra, este segmento volátil tiende a aplicar un proceso de "downgrading", resignando el consumo diario de categorías premium de alto desembolso por kilogramo y reenfocando sus presupuestos en cereales y panificados convencionales básicos o marcas blancas (propias de supermercado) de bajo costo.</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Mutación Arquitectónica de los Canales de Comercialización B2B2C</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severo estrechamiento de los márgenes familiares ha provocado un desplazamiento tectónico y sostenido en la preferencia de los canales físicos de venta.</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Los reportes de la industria del primer semestre de 2026 revelan un éxodo masivo de los consumidores, abandonando las grandes cadenas de hipermercados nacionales y redirigiendo su tráfico hacia los comercios de cercanía, que incluyen autoservicios barriales, almacenes tradicionales, mini-mercados y dietéticas especializadas.</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racionalidad microeconómica detrás de este fenómeno radica en la necesidad de control financiero diario. Los consumidores buscan evitar psicológicamente la exposición a las "compras grandes de stockeo mensual" de chango lleno —típicas del comportamiento hiperinflacionario del pasado—, optando por visitas de alta frecuencia pero de micro-volumen.</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Esta estrategia de reposición de stock casi diaria permite a los hogares administrar su escasez de flujo de efectivo y evitar la compra de bienes suntuarios por impulso que habitualmente fomentan las grandes superficies.</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Este fenómeno conductual tiene un efecto dominó directo y profundo sobre la estrategia logística y de comercialización delineada en la prefactibilidad del proyecto. El plan de negocios original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proyecta apalancar sus 384 toneladas anuales abasteciendo a grandes distribuidores centralizados y centros logísticos de cadenas de hipermercados concentrados geográficamente en el Área Metropolitana de Buenos Aires (AMBA). Sin embargo, la contracción histórica en la rotación de volumen de las grandes superficies requiere que la empresa ajuste su dinámica B2B2C de manera imperativa.</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realidad del mercado forzará una mayor atomización de sus rutas de entrega directa o a través de sub-distribuidores hacia miles de dietéticas independientes, almacenes saludables y cadenas de farmacias barriales. Penetrar, abastecer y realizar la cobranza en estos canales capilares fragmentados incrementará exponencialmente la complejidad de la logística de "última milla". Esto indudablemente elevará el porcentaje de costo de distribución por unidad vendida (actualmente estimado dentro del bloque de "otros costos" indirectos)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un margen que deberá ser absorbido internamente mediante eficiencias de planta, dado que resulta inviable traspasarlo a un precio final al mostrador que ya opera en el umbral límite de tolerancia del consumidor.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Asimetría Estructural de Costos de Materias Primas Agrícolas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modelo de negocios de la industria alimentaria especializada libre de gluten padece de una desventaja competitiva originaria y un costo hundido sistémico derivado de la matriz de precios de sus insumos farináceos básicos. Esta vulnerabilidad es reconocida explícitamente como la debilidad número 10 ("Elevados costos de materia prima e insumos sin TACC") en la propia matriz FODA del proyecto.</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Analizando las cotizaciones y reportes del mercado mayorista agropecuario y de legumbres argentino para el período de abril de 2026, la disparidad de costos directos entre la producción panadera basada en el complejo triguero tradicional y la especialización en matrices alternativas (arroz, mandioca, maíz) es asimétrica y alarmante.</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Tipo de Insumo (Harinas y Féculas)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Cotización Referencial Mayorista (Abril 2026)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Equivalencia Monetaria por Tonelada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Brecha de Costo Relativo vs. Trigo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Fuente de Mercado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Harina de Trigo (Común 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$ 6.650 / bolsa de 25 kg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$ 266.000 / Tonelada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1.0x (Línea Base)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Mercado Nacional de Granos </w:t>
            </w:r>
            <w:r w:rsidDel="00000000" w:rsidR="00000000" w:rsidRPr="00000000">
              <w:rPr>
                <w:rFonts w:ascii="Google Sans" w:cs="Google Sans" w:eastAsia="Google Sans" w:hAnsi="Google Sans"/>
                <w:color w:val="444746"/>
                <w:sz w:val="24"/>
                <w:szCs w:val="24"/>
                <w:vertAlign w:val="superscript"/>
                <w:rtl w:val="0"/>
              </w:rPr>
              <w:t xml:space="preserve">31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Harina de Arroz (Sin TACC)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$ 36.500 / bolsa de 25 kg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$ 1.460.000 / Tonelada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 5.5x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Mercado Mayorista Especializado </w:t>
            </w:r>
            <w:r w:rsidDel="00000000" w:rsidR="00000000" w:rsidRPr="00000000">
              <w:rPr>
                <w:rFonts w:ascii="Google Sans" w:cs="Google Sans" w:eastAsia="Google Sans" w:hAnsi="Google Sans"/>
                <w:color w:val="444746"/>
                <w:sz w:val="24"/>
                <w:szCs w:val="24"/>
                <w:vertAlign w:val="superscript"/>
                <w:rtl w:val="0"/>
              </w:rPr>
              <w:t xml:space="preserve">32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Fécula de Mandioca / Almidón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$ 53.300 / bolsa de 25 kg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$ 2.132.000 / Tonelada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 8.0x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Mercado Mayorista Especializado </w:t>
            </w:r>
            <w:r w:rsidDel="00000000" w:rsidR="00000000" w:rsidRPr="00000000">
              <w:rPr>
                <w:rFonts w:ascii="Google Sans" w:cs="Google Sans" w:eastAsia="Google Sans" w:hAnsi="Google Sans"/>
                <w:color w:val="444746"/>
                <w:sz w:val="24"/>
                <w:szCs w:val="24"/>
                <w:vertAlign w:val="superscript"/>
                <w:rtl w:val="0"/>
              </w:rPr>
              <w:t xml:space="preserve">32</w:t>
            </w:r>
          </w:p>
        </w:tc>
      </w:tr>
    </w:tbl>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Esta tabla evidencia una de las mayores barreras económicas operativas del proyecto: la harina de arroz, ingrediente base mayoritario para las formulaciones de los polvorones y las galletitas de chocolate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cuesta aproximadamente cinco veces y media más que la harina de trigo panadero convencional.</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Aún más crítico es el precio de la fécula de mandioca, un hidrocoloide natural y polvo texturizante absolutamente fundamental para otorgar la estructura celular, la porosidad y la textura viscoelástica a los bizcochos salados, pepas y panes de molde detallados en la ingeniería de receta del proyecto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su cotización supera en más de ocho veces el valor mercantil del trigo.</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Este factor macroeconómico de costos asimétricos tiene tres implicancias de primer orden en la ejecución de la evaluación financiera proyectada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5">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Estrangulamiento del Capital de Trabajo (Working Capital):</w:t>
      </w:r>
      <w:r w:rsidDel="00000000" w:rsidR="00000000" w:rsidRPr="00000000">
        <w:rPr>
          <w:rFonts w:ascii="Google Sans" w:cs="Google Sans" w:eastAsia="Google Sans" w:hAnsi="Google Sans"/>
          <w:color w:val="1f1f1f"/>
          <w:rtl w:val="0"/>
        </w:rPr>
        <w:t xml:space="preserve"> Para mantener la continuidad operativa de la planta en Garín sin quiebres de stock, la compañía requiere movilizar y comprometer un volumen de capital circulante o de maniobra extraordinariamente superior al de una panificadora tradicional, simplemente para almacenar el mismo tonelaje físico de seguridad en sus silos y depósitos.</w:t>
      </w:r>
    </w:p>
    <w:p w:rsidR="00000000" w:rsidDel="00000000" w:rsidP="00000000" w:rsidRDefault="00000000" w:rsidRPr="00000000" w14:paraId="00000056">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El Costo Punitivo de la Merma Industrial:</w:t>
      </w:r>
      <w:r w:rsidDel="00000000" w:rsidR="00000000" w:rsidRPr="00000000">
        <w:rPr>
          <w:rFonts w:ascii="Google Sans" w:cs="Google Sans" w:eastAsia="Google Sans" w:hAnsi="Google Sans"/>
          <w:color w:val="1f1f1f"/>
          <w:rtl w:val="0"/>
        </w:rPr>
        <w:t xml:space="preserve"> En la panificación convencional con trigo, el desperdicio de masa es un problema menor. En la planta Sin TACC, los desperdicios de la fase de arranque de línea (start-up), las mermas por desviaciones de peso en el proceso de dosificación volumétrica de pistones para los budines, y el producto defectuoso no conforme (típicos de la curva de aprendizaje inicial y calibración de recetas, que el proyecto califica como riesgo "Medio" 7)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no cuestan unos pocos centavos, sino decenas de miles de pesos por batch. Un kilogramo de masa mal formulada o contaminada que deba ser desechada impacta dramáticamente, destruyendo la rentabilidad marginal del lote de producción.</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57">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Extrema Presión en la Eficiencia Operativa (Markup):</w:t>
      </w:r>
      <w:r w:rsidDel="00000000" w:rsidR="00000000" w:rsidRPr="00000000">
        <w:rPr>
          <w:rFonts w:ascii="Google Sans" w:cs="Google Sans" w:eastAsia="Google Sans" w:hAnsi="Google Sans"/>
          <w:color w:val="1f1f1f"/>
          <w:rtl w:val="0"/>
        </w:rPr>
        <w:t xml:space="preserve"> Con un costo directo estimado de materia prima que asciende a la colosal suma de $944.773.421 pesos anuales para producir apenas 384 toneladas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la capacidad de generar la utilidad neta esperada depende críticamente de lograr ratios de eficiencia OEE (Overall Equipment Effectiveness) de clase mundial. Reducir los consumos energéticos de los hornos túnel y minimizar al máximo los rechazos de calidad serán las únicas variables endógenas controlables para no comprimir los márgenes.</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Entorno Social</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pesar de los severos vientos de proa y fricciones en las dimensiones económicas y regulatorias, las macrotendencias socioculturales y los cambios demográficos en la percepción de la nutrición actúan indiscutiblemente como el principal motor de crecimiento orgánico y tracción comercial del proyecto. La sociedad argentina del año 2026 atraviesa un cambio de paradigma profundo, holístico y estructural en la concepción del bienestar, donde la nutrición ha dejado de ser entendida pasivamente como un mero aporte calórico de sustento, para elevarse al grado de pilar proactivo, preventivo y terapéutico de la salud física, la longevidad (</w:t>
      </w:r>
      <w:r w:rsidDel="00000000" w:rsidR="00000000" w:rsidRPr="00000000">
        <w:rPr>
          <w:rFonts w:ascii="Google Sans" w:cs="Google Sans" w:eastAsia="Google Sans" w:hAnsi="Google Sans"/>
          <w:i w:val="1"/>
          <w:iCs w:val="1"/>
          <w:color w:val="1f1f1f"/>
          <w:rtl w:val="0"/>
        </w:rPr>
        <w:t xml:space="preserve">healthspan</w:t>
      </w:r>
      <w:r w:rsidDel="00000000" w:rsidR="00000000" w:rsidRPr="00000000">
        <w:rPr>
          <w:rFonts w:ascii="Google Sans" w:cs="Google Sans" w:eastAsia="Google Sans" w:hAnsi="Google Sans"/>
          <w:color w:val="1f1f1f"/>
          <w:rtl w:val="0"/>
        </w:rPr>
        <w:t xml:space="preserve">) y la estabilidad mental.</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Evolución Epidemiológica: Crecimiento de la Celiaquía y la SGNC</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mercado núcleo ineludible y primario del proyecto, que garantiza la penetración inicial, es la población diagnosticada clínicamente con enfermedad celíaca. Diferentes bases de datos oficiales, estudios epidemiológicos del sistema de salud y proyecciones de organizaciones civiles de pacientes sugieren de manera coincidente que la prevalencia de la Enfermedad Celíaca (EC) clásica en Argentina afecta a un rango que oscila entre 400.000 y más de 500.000 habitantes.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Sin embargo, la variable demográfica y social con mayor impacto expansivo a futuro no es la tasa de incidencia de la enfermedad </w:t>
      </w:r>
      <w:r w:rsidDel="00000000" w:rsidR="00000000" w:rsidRPr="00000000">
        <w:rPr>
          <w:rFonts w:ascii="Google Sans" w:cs="Google Sans" w:eastAsia="Google Sans" w:hAnsi="Google Sans"/>
          <w:i w:val="1"/>
          <w:iCs w:val="1"/>
          <w:color w:val="1f1f1f"/>
          <w:rtl w:val="0"/>
        </w:rPr>
        <w:t xml:space="preserve">per se</w:t>
      </w:r>
      <w:r w:rsidDel="00000000" w:rsidR="00000000" w:rsidRPr="00000000">
        <w:rPr>
          <w:rFonts w:ascii="Google Sans" w:cs="Google Sans" w:eastAsia="Google Sans" w:hAnsi="Google Sans"/>
          <w:color w:val="1f1f1f"/>
          <w:rtl w:val="0"/>
        </w:rPr>
        <w:t xml:space="preserve">, sino la democratización, abaratamiento y perfeccionamiento de las técnicas de diagnóstico médico temprano.</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El sistema sanitario argentino ha evolucionado rápidamente hacia enfoques pragmáticos multimodales, estandarizando protocolos que combinan determinaciones serológicas de anticuerpos (IgA, anti-transglutaminasa), mapeo genético, biopsias duodenales e historias clínicas exhaustivas.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Este abordaje clínico está destruyendo progresivamente la enorme barrera del subdiagnóstico crónico e histórico en el país, el cual establecía estadísticamente que por cada paciente celíaco formalmente diagnosticado, existían entre 8 y 9 individuos padeciendo la enfermedad en el anonimato clínico.</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A medida que el tamizaje se vuelve rutinario en los chequeos médicos, el tamaño real del mercado cautivo direccionable emerge hacia la superficie, engrosando la base de clientes potenciales del proyecto.</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Paralelamente, a esta base poblacional autoinmune se suma la irrupción y consolidación diagnóstica de una patología clínica emergente de altísimo impacto social: la Sensibilidad al Gluten No Celíaca (SGNC).</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Las investigaciones gastroenterológicas contemporáneas han validado la existencia de una creciente cohorte de individuos que, si bien presentan resultados negativos para los marcadores autoinmunes propios de la celiaquía y ausencia de atrofia vellositaria, experimentan un amplio, incapacitante y veloz espectro de síntomas gastrointestinales y extraintestinales agudos (inflamación, fatiga, niebla mental) al ingerir matrices alimentarias que contienen trigo.</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Este numeroso grupo de pacientes diagnosticados con SGNC requiere terapéuticamente la adopción de dietas libres de gluten estrictas, al igual que un paciente celíaco.</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La visibilización médica de la SGNC expande exponencialmente las fronteras del mercado "por necesidad médica estricta", garantizando una demanda inelástica que continuará creciendo año a año a medida que los profesionales de la salud generalicen y adopten formalmente este diagnóstico diferencial.</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Era de la Alimentación Funcional y el "Bienestar de Precisión"</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Desde el punto de vista sociológico, el año 2026 marca la consolidación definitiva e irreversible de la macrotendencia global y regional denominada "alimentación consciente", "salud proactiva" o "bienestar de precisión".</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Encuestas exhaustivas de hábitos de consumo de agencias líderes como Kantar revelan cifras contundentes: 7 de cada 10 compradores y responsables de abastecimiento en los hogares de Argentina afirman buscar activa y deliberadamente beneficios de salud específicos, concretos y funcionales al detenerse frente a la góndola y seleccionar productos procesados.</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paradigma de la nutrición indulgente ha evolucionado. Productos tradicionalmente vistos como meros vehículos de carbohidratos vacíos o elementos de confort —como el pan de molde, los budines o las galletas dulces— están siendo sometidos a un escrutinio social severo. Los consumidores modernos demandan que estos productos se transformen en plataformas funcionales densas en macro y micronutrientes.</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Existe una exigencia generalizada por perfiles de "etiqueta limpia" (Clean Label), que implica listas de ingredientes cortas, reconocibles, pronunciables, la drástica reducción de azúcares y grasas saturadas, y la evitación paranoica de los principales alérgenos industriales (soja, lácteos, huevo).</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proyecto analizado demuestra una notable perspicacia en la lectura de esta tendencia social. La estructuración de su mix de 7 productos responde magistralmente a esta confluencia de requisitos al posicionar toda su línea productiva como 100% de origen vegetal (apta para el creciente mercado vegano al utilizar margarinas y aceites interesterificados), totalmente libre de lácteos, y endulzada de manera disruptiva con concentrados naturales como pasta de dátiles y pasas de uva.</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Este posicionamiento cruzado y multifuncional le permite al proyecto salirse del nicho restrictivo de la "dietética médica" e intersectar con el gigantesco mercado de estilo de vida saludable latinoamericano, el cual, para la categoría específica de alimentos sin gluten, proyecta valuaciones superiores a los 370 millones de dólares para el cierre de 2026.</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La promesa de valor es clara: permitir la indulgencia (comer un budín o una pepa de chocolate) sin culpa y con el beneficio añadido de estar consumiendo un producto percibido como nutricionalmente superior y seguro.</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No obstante, el inmenso desafío social y de marketing radicará en la comunicación efectiva y en la protección de esta percepción de pureza. Como se ha detallado exhaustivamente en la sección legal-regulatoria, si el empleo tecnológico de la pasta de dátiles desencadena la obligación ineludible de imprimir un sello octogonal negro de advertencia frontal de "Exceso en Azúcares", el choque de expectativas (disonancia cognitiva) y el consiguiente rechazo y castigo por parte del consumidor urbano </w:t>
      </w:r>
      <w:r w:rsidDel="00000000" w:rsidR="00000000" w:rsidRPr="00000000">
        <w:rPr>
          <w:rFonts w:ascii="Google Sans" w:cs="Google Sans" w:eastAsia="Google Sans" w:hAnsi="Google Sans"/>
          <w:i w:val="1"/>
          <w:iCs w:val="1"/>
          <w:color w:val="1f1f1f"/>
          <w:rtl w:val="0"/>
        </w:rPr>
        <w:t xml:space="preserve">health-conscious</w:t>
      </w:r>
      <w:r w:rsidDel="00000000" w:rsidR="00000000" w:rsidRPr="00000000">
        <w:rPr>
          <w:rFonts w:ascii="Google Sans" w:cs="Google Sans" w:eastAsia="Google Sans" w:hAnsi="Google Sans"/>
          <w:color w:val="1f1f1f"/>
          <w:rtl w:val="0"/>
        </w:rPr>
        <w:t xml:space="preserve"> o enfocado en la nutrición deportiva podría ser veloz y severo.</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Una etiqueta de advertencia anula psicológicamente el posicionamiento </w:t>
      </w:r>
      <w:r w:rsidDel="00000000" w:rsidR="00000000" w:rsidRPr="00000000">
        <w:rPr>
          <w:rFonts w:ascii="Google Sans" w:cs="Google Sans" w:eastAsia="Google Sans" w:hAnsi="Google Sans"/>
          <w:i w:val="1"/>
          <w:iCs w:val="1"/>
          <w:color w:val="1f1f1f"/>
          <w:rtl w:val="0"/>
        </w:rPr>
        <w:t xml:space="preserve">premium</w:t>
      </w:r>
      <w:r w:rsidDel="00000000" w:rsidR="00000000" w:rsidRPr="00000000">
        <w:rPr>
          <w:rFonts w:ascii="Google Sans" w:cs="Google Sans" w:eastAsia="Google Sans" w:hAnsi="Google Sans"/>
          <w:color w:val="1f1f1f"/>
          <w:rtl w:val="0"/>
        </w:rPr>
        <w:t xml:space="preserve"> natural y neutraliza, en gran medida, el diferencial de valor que justifica pagar el elevado sobreprecio de estos panificados alternativos.</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6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Entorno Tecnológico</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elaboración industrial competitiva y a gran escala de panificados, galletas y bollería libre de gluten es, en su fundamento esencial, un formidables desafío de ingeniería de materiales e innovación bioquímica. Al erradicar de la formulación el trigo, se prescinde de la vasta red tridimensional y viscoelástica que forma el complejo proteico del gluten. El gluten es el agente termodinámico responsable de atrapar y retener las burbujas de gas carbónico generadas por la levadura durante el proceso de fermentación, proveyendo expansión térmica en el horno, esponjosidad, extensibilidad, estructura alveolar celular y humedad residual a la miga del pan.</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Recrear esta compleja arquitectura reológica, organoléptica y sensorial —evitando que el producto final resulte desmenuzable (friable), seco, denso o con textura arenosa y áspera a los pocos días de su envasado— exige apoyarse masivamente en la frontera de la ciencia y la tecnología de los alimentos.</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Revolución en Reología: El Rol Crítico de los Hidrocoloides y las Soluciones Enzimáticas</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viabilizar el desarrollo del mix de productos farináceos descrito (especialmente el crítico pan de molde en rebanadas, los budines aireados y las galletas de textura controlada)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el entorno tecnológico industrial del año 2026 ofrece soluciones de vanguardia sumamente eficaces para compensar estructuralmente la ausencia de la red de gluten. El mercado de procesamiento de ingredientes B2B ha experimentado un crecimiento explosivo en la sofisticación de mezclas sinérgicas de hidrocoloides alimentarios.</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Polímeros polisacáridos complejos de origen natural —tales como la goma xantana, la goma guar, los alginatos, la carragenina y diversas pectinas— se han convertido en la columna vertebral de las recetas libres de TACC.</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Estos componentes actúan biológicamente como estabilizantes de emulsiones y formadores de películas estructurales, poseyendo una extraordinaria y necesaria capacidad de aglutinación y retención molecular de agua.</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Al integrarse con el almidón de maíz o la fécula de arroz, los hidrocoloides permiten una correcta hidratación de matrices harinosas que por naturaleza son hidrofóbicas o de difícil gelatinización, otorgando la maleabilidad mecánica necesaria para que las masas puedan ser maquinadas eficientemente en la línea de dosificadoras volumétricas, rotativas y cintas de la fábrica sin desgarrarse ni atorar los equipos.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Asimismo, la biotecnología aplicada a la formulación mediante el diseño de enzimas biológicas especializadas se ha erigido como el nuevo estándar de oro y condición indispensable de la panificación a gran escala.</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Las corporaciones globales de biociencia han desarrollado y lanzado al mercado latinoamericano complejos enzimáticos de precisión (basados en cepas específicas de amilasas maltogénicas, xilanasas y lipasas) diseñados expresamente para actuar sobre las matrices amiláceas del maíz y el arroz.</w:t>
      </w:r>
      <w:r w:rsidDel="00000000" w:rsidR="00000000" w:rsidRPr="00000000">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aplicación milimétrica de estos catalizadores biológicos durante la fase de amasado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interrumpe y retrasa significativamente a nivel molecular el fenómeno de retrogradación del almidón (la recristalización de la amilopectina), que es la causa principal del rápido envejecimiento, pérdida de humedad y endurecimiento pétreo de la miga (conocido en la industria como </w:t>
      </w:r>
      <w:r w:rsidDel="00000000" w:rsidR="00000000" w:rsidRPr="00000000">
        <w:rPr>
          <w:rFonts w:ascii="Google Sans" w:cs="Google Sans" w:eastAsia="Google Sans" w:hAnsi="Google Sans"/>
          <w:i w:val="1"/>
          <w:iCs w:val="1"/>
          <w:color w:val="1f1f1f"/>
          <w:rtl w:val="0"/>
        </w:rPr>
        <w:t xml:space="preserve">staling</w:t>
      </w:r>
      <w:r w:rsidDel="00000000" w:rsidR="00000000" w:rsidRPr="00000000">
        <w:rPr>
          <w:rFonts w:ascii="Google Sans" w:cs="Google Sans" w:eastAsia="Google Sans" w:hAnsi="Google Sans"/>
          <w:color w:val="1f1f1f"/>
          <w:rtl w:val="0"/>
        </w:rPr>
        <w:t xml:space="preserve">), un defecto técnico histórico y crónico de los panes de molde sin TACC.</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La adopción de estas soluciones biotecnológicas en el proyecto incrementa exponencialmente la suavidad inicial, retiene la humedad migratoria y prolonga de manera sustancial y limpia la vida útil técnica y comercial (</w:t>
      </w:r>
      <w:r w:rsidDel="00000000" w:rsidR="00000000" w:rsidRPr="00000000">
        <w:rPr>
          <w:rFonts w:ascii="Google Sans" w:cs="Google Sans" w:eastAsia="Google Sans" w:hAnsi="Google Sans"/>
          <w:i w:val="1"/>
          <w:iCs w:val="1"/>
          <w:color w:val="1f1f1f"/>
          <w:rtl w:val="0"/>
        </w:rPr>
        <w:t xml:space="preserve">shelf-life</w:t>
      </w:r>
      <w:r w:rsidDel="00000000" w:rsidR="00000000" w:rsidRPr="00000000">
        <w:rPr>
          <w:rFonts w:ascii="Google Sans" w:cs="Google Sans" w:eastAsia="Google Sans" w:hAnsi="Google Sans"/>
          <w:color w:val="1f1f1f"/>
          <w:rtl w:val="0"/>
        </w:rPr>
        <w:t xml:space="preserve">) del producto en las estanterías de los supermercados.</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Al alargar dramáticamente los tiempos de caducidad en exhibición comercial, la empresa logra una victoria operativa doble: mejora diametralmente la experiencia hedónica del consumidor y reduce drásticamente el devastador índice de devoluciones por producto vencido o endurecido, apalancando y protegiendo sus márgenes financieros frente a las demoras logísticas inevitables de su compleja red de distribución de alcance nacional en un país de vasta extensión geográfica.</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Desafío Tecnológico (Sin TACC)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Solución de Ingeniería Alimentaria 2026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Impacto en el Proyecto Industrial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Ausencia de elasticidad (Masa quebradiza)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Incorporación de mix de </w:t>
            </w:r>
            <w:r w:rsidDel="00000000" w:rsidR="00000000" w:rsidRPr="00000000">
              <w:rPr>
                <w:rFonts w:ascii="Google Sans" w:cs="Google Sans" w:eastAsia="Google Sans" w:hAnsi="Google Sans"/>
                <w:b w:val="1"/>
                <w:bCs w:val="1"/>
                <w:color w:val="1f1f1f"/>
                <w:shd w:fill="auto" w:val="clear"/>
                <w:rtl w:val="0"/>
              </w:rPr>
              <w:t xml:space="preserve">Hidrocoloides</w:t>
            </w:r>
            <w:r w:rsidDel="00000000" w:rsidR="00000000" w:rsidRPr="00000000">
              <w:rPr>
                <w:rFonts w:ascii="Google Sans" w:cs="Google Sans" w:eastAsia="Google Sans" w:hAnsi="Google Sans"/>
                <w:color w:val="1f1f1f"/>
                <w:shd w:fill="auto" w:val="clear"/>
                <w:rtl w:val="0"/>
              </w:rPr>
              <w:t xml:space="preserve"> (Goma Guar, Xantana, Pectinas).</w:t>
            </w:r>
            <w:r w:rsidDel="00000000" w:rsidR="00000000" w:rsidRPr="00000000">
              <w:rPr>
                <w:rFonts w:ascii="Google Sans" w:cs="Google Sans" w:eastAsia="Google Sans" w:hAnsi="Google Sans"/>
                <w:color w:val="444746"/>
                <w:sz w:val="24"/>
                <w:szCs w:val="24"/>
                <w:vertAlign w:val="superscript"/>
                <w:rtl w:val="0"/>
              </w:rPr>
              <w:t xml:space="preserve">44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Permite el correcto funcionamiento de la amasadora industrial y la máquina rotativa sin atascos.</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Rápido endurecimiento de miga (</w:t>
            </w:r>
            <w:r w:rsidDel="00000000" w:rsidR="00000000" w:rsidRPr="00000000">
              <w:rPr>
                <w:rFonts w:ascii="Google Sans" w:cs="Google Sans" w:eastAsia="Google Sans" w:hAnsi="Google Sans"/>
                <w:i w:val="1"/>
                <w:iCs w:val="1"/>
                <w:color w:val="1f1f1f"/>
                <w:shd w:fill="auto" w:val="clear"/>
                <w:rtl w:val="0"/>
              </w:rPr>
              <w:t xml:space="preserve">Staling</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Uso de </w:t>
            </w:r>
            <w:r w:rsidDel="00000000" w:rsidR="00000000" w:rsidRPr="00000000">
              <w:rPr>
                <w:rFonts w:ascii="Google Sans" w:cs="Google Sans" w:eastAsia="Google Sans" w:hAnsi="Google Sans"/>
                <w:b w:val="1"/>
                <w:bCs w:val="1"/>
                <w:color w:val="1f1f1f"/>
                <w:shd w:fill="auto" w:val="clear"/>
                <w:rtl w:val="0"/>
              </w:rPr>
              <w:t xml:space="preserve">Complejos Enzimáticos</w:t>
            </w:r>
            <w:r w:rsidDel="00000000" w:rsidR="00000000" w:rsidRPr="00000000">
              <w:rPr>
                <w:rFonts w:ascii="Google Sans" w:cs="Google Sans" w:eastAsia="Google Sans" w:hAnsi="Google Sans"/>
                <w:color w:val="1f1f1f"/>
                <w:shd w:fill="auto" w:val="clear"/>
                <w:rtl w:val="0"/>
              </w:rPr>
              <w:t xml:space="preserve"> (Amilasas maltogénicas) específicos para arroz/maíz.</w:t>
            </w:r>
            <w:r w:rsidDel="00000000" w:rsidR="00000000" w:rsidRPr="00000000">
              <w:rPr>
                <w:rFonts w:ascii="Google Sans" w:cs="Google Sans" w:eastAsia="Google Sans" w:hAnsi="Google Sans"/>
                <w:color w:val="444746"/>
                <w:sz w:val="24"/>
                <w:szCs w:val="24"/>
                <w:vertAlign w:val="superscript"/>
                <w:rtl w:val="0"/>
              </w:rPr>
              <w:t xml:space="preserve">46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Prolonga significativamente el </w:t>
            </w:r>
            <w:r w:rsidDel="00000000" w:rsidR="00000000" w:rsidRPr="00000000">
              <w:rPr>
                <w:rFonts w:ascii="Google Sans" w:cs="Google Sans" w:eastAsia="Google Sans" w:hAnsi="Google Sans"/>
                <w:i w:val="1"/>
                <w:iCs w:val="1"/>
                <w:color w:val="1f1f1f"/>
                <w:shd w:fill="auto" w:val="clear"/>
                <w:rtl w:val="0"/>
              </w:rPr>
              <w:t xml:space="preserve">shelf-life</w:t>
            </w:r>
            <w:r w:rsidDel="00000000" w:rsidR="00000000" w:rsidRPr="00000000">
              <w:rPr>
                <w:rFonts w:ascii="Google Sans" w:cs="Google Sans" w:eastAsia="Google Sans" w:hAnsi="Google Sans"/>
                <w:color w:val="1f1f1f"/>
                <w:shd w:fill="auto" w:val="clear"/>
                <w:rtl w:val="0"/>
              </w:rPr>
              <w:t xml:space="preserve">, reduciendo devoluciones comerciales de pan de molde y budines.</w:t>
            </w:r>
            <w:r w:rsidDel="00000000" w:rsidR="00000000" w:rsidRPr="00000000">
              <w:rPr>
                <w:rFonts w:ascii="Google Sans" w:cs="Google Sans" w:eastAsia="Google Sans" w:hAnsi="Google Sans"/>
                <w:color w:val="444746"/>
                <w:sz w:val="24"/>
                <w:szCs w:val="24"/>
                <w:vertAlign w:val="superscript"/>
                <w:rtl w:val="0"/>
              </w:rPr>
              <w:t xml:space="preserve">34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Crecimiento de moho fúngico precoz</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Envasado en </w:t>
            </w:r>
            <w:r w:rsidDel="00000000" w:rsidR="00000000" w:rsidRPr="00000000">
              <w:rPr>
                <w:rFonts w:ascii="Google Sans" w:cs="Google Sans" w:eastAsia="Google Sans" w:hAnsi="Google Sans"/>
                <w:b w:val="1"/>
                <w:bCs w:val="1"/>
                <w:color w:val="1f1f1f"/>
                <w:shd w:fill="auto" w:val="clear"/>
                <w:rtl w:val="0"/>
              </w:rPr>
              <w:t xml:space="preserve">Atmósfera Modificada (MAP)</w:t>
            </w:r>
            <w:r w:rsidDel="00000000" w:rsidR="00000000" w:rsidRPr="00000000">
              <w:rPr>
                <w:rFonts w:ascii="Google Sans" w:cs="Google Sans" w:eastAsia="Google Sans" w:hAnsi="Google Sans"/>
                <w:color w:val="1f1f1f"/>
                <w:shd w:fill="auto" w:val="clear"/>
                <w:rtl w:val="0"/>
              </w:rPr>
              <w:t xml:space="preserve"> con mezcla de N2 y CO2.</w:t>
            </w:r>
            <w:r w:rsidDel="00000000" w:rsidR="00000000" w:rsidRPr="00000000">
              <w:rPr>
                <w:rFonts w:ascii="Google Sans" w:cs="Google Sans" w:eastAsia="Google Sans" w:hAnsi="Google Sans"/>
                <w:color w:val="444746"/>
                <w:sz w:val="24"/>
                <w:szCs w:val="24"/>
                <w:vertAlign w:val="superscript"/>
                <w:rtl w:val="0"/>
              </w:rPr>
              <w:t xml:space="preserve">48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Habilita la distribución a nivel nacional sin romper la cadena, manteniendo el </w:t>
            </w:r>
            <w:r w:rsidDel="00000000" w:rsidR="00000000" w:rsidRPr="00000000">
              <w:rPr>
                <w:rFonts w:ascii="Google Sans" w:cs="Google Sans" w:eastAsia="Google Sans" w:hAnsi="Google Sans"/>
                <w:i w:val="1"/>
                <w:iCs w:val="1"/>
                <w:color w:val="1f1f1f"/>
                <w:shd w:fill="auto" w:val="clear"/>
                <w:rtl w:val="0"/>
              </w:rPr>
              <w:t xml:space="preserve">claim</w:t>
            </w:r>
            <w:r w:rsidDel="00000000" w:rsidR="00000000" w:rsidRPr="00000000">
              <w:rPr>
                <w:rFonts w:ascii="Google Sans" w:cs="Google Sans" w:eastAsia="Google Sans" w:hAnsi="Google Sans"/>
                <w:color w:val="1f1f1f"/>
                <w:shd w:fill="auto" w:val="clear"/>
                <w:rtl w:val="0"/>
              </w:rPr>
              <w:t xml:space="preserve"> "Clean Label" sin conservantes.</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Tecnologías de Envasado Avanzado: Atmósfera Modificada (MAP)</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Trabajando en perfecta sinergia con las innovaciones bioquímicas aplicadas a la masa, los avances mecánicos en la tecnología de envasado, preservación y </w:t>
      </w:r>
      <w:r w:rsidDel="00000000" w:rsidR="00000000" w:rsidRPr="00000000">
        <w:rPr>
          <w:rFonts w:ascii="Google Sans" w:cs="Google Sans" w:eastAsia="Google Sans" w:hAnsi="Google Sans"/>
          <w:i w:val="1"/>
          <w:iCs w:val="1"/>
          <w:color w:val="1f1f1f"/>
          <w:rtl w:val="0"/>
        </w:rPr>
        <w:t xml:space="preserve">packaging</w:t>
      </w:r>
      <w:r w:rsidDel="00000000" w:rsidR="00000000" w:rsidRPr="00000000">
        <w:rPr>
          <w:rFonts w:ascii="Google Sans" w:cs="Google Sans" w:eastAsia="Google Sans" w:hAnsi="Google Sans"/>
          <w:color w:val="1f1f1f"/>
          <w:rtl w:val="0"/>
        </w:rPr>
        <w:t xml:space="preserve"> son absolutamente cruciales para la rentabilidad de las líneas de panificados y budines. La implementación estratégica del sistema de Envasado en Atmósfera Modificada (MAP, por sus siglas en inglés) es una herramienta de ingeniería central que el ecosistema industrial moderno proporciona y que resulta determinante para el éxito a escala nacional del proyecto.</w:t>
      </w:r>
      <w:r w:rsidDel="00000000" w:rsidR="00000000" w:rsidRPr="00000000">
        <w:rPr>
          <w:rFonts w:ascii="Google Sans" w:cs="Google Sans" w:eastAsia="Google Sans" w:hAnsi="Google Sans"/>
          <w:color w:val="444746"/>
          <w:sz w:val="24"/>
          <w:szCs w:val="24"/>
          <w:vertAlign w:val="superscript"/>
          <w:rtl w:val="0"/>
        </w:rPr>
        <w:t xml:space="preserve">48</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Esta sofisticada técnica, que deberá integrarse a las líneas de envasado Flow Pack y verticales detalladas en el lay-out de la planta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implica la extracción mecánica de oxígeno y el reemplazo volumétrico del aire ambiental en el interior del paquete por una mezcla de gases industriales de alta pureza meticulosamente calibrada, predominantemente dióxido de carbono (CO2) de grado alimentario (actuando como agente fungistático y bacteriostático) y nitrógeno (N2) (actuando como gas inerte de relleno para evitar el colapso mecánico del envase y la oxidación de lípidos).</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Al eliminar virtualmente el oxígeno residual del espacio de cabeza del envase, se suprime exponencialmente la tasa de crecimiento de la flora aeróbica (mohos y levaduras salvajes) y se frena el enranciamiento oxidativo de las grasas (margarinas y aceites vegetales utilizados).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valor estratégico del MAP es que otorga una extensión masiva de la vida comercial microbiológica sin necesidad de recurrir a procesos térmicos destructivos post-envasado, ni a la adición de agresivos conservantes químicos sintéticos (como sorbatos o propionatos en altas concentraciones), ni a la elevación de los niveles de sodio.</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Dado que el plan de ventas del proyecto busca imperativamente tener un profundo alcance de distribución en todas las provincias del interior de la República Argentina a través de flotas de camiones fleteados y tercerizados (que a menudo enfrentan variabilidad térmica)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lograr este objetivo logístico sin sacrificar las credenciales de producto "natural"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hace que la adopción de tecnologías MAP en el equipo de empaque sea una inversión en bienes de capital ineludible. Si bien la tecnología MAP es altamente eficaz, la evaluación financiera debe contemplar que incrementará de manera perceptible el costo marginal unitario de envasado, debido al continuo consumo de gases industriales (suministrados por empresas como Air Liquide o Linde) </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y al estricto requerimiento técnico de utilizar films poliméricos multicapa y laminados de altísima barrera a la permeabilidad del oxígeno para retener la atmósfera protectora a lo largo de los meses.</w:t>
      </w:r>
      <w:r w:rsidDel="00000000" w:rsidR="00000000" w:rsidRPr="00000000">
        <w:rPr>
          <w:rFonts w:ascii="Google Sans" w:cs="Google Sans" w:eastAsia="Google Sans" w:hAnsi="Google Sans"/>
          <w:color w:val="444746"/>
          <w:sz w:val="24"/>
          <w:szCs w:val="24"/>
          <w:vertAlign w:val="superscript"/>
          <w:rtl w:val="0"/>
        </w:rPr>
        <w:t xml:space="preserve">50</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Prevención de Contaminación Cruzada, Food Defense y Automatización 4.0</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nivel de aseguramiento de la calidad (</w:t>
      </w:r>
      <w:r w:rsidDel="00000000" w:rsidR="00000000" w:rsidRPr="00000000">
        <w:rPr>
          <w:rFonts w:ascii="Google Sans" w:cs="Google Sans" w:eastAsia="Google Sans" w:hAnsi="Google Sans"/>
          <w:i w:val="1"/>
          <w:iCs w:val="1"/>
          <w:color w:val="1f1f1f"/>
          <w:rtl w:val="0"/>
        </w:rPr>
        <w:t xml:space="preserve">Quality Assurance</w:t>
      </w:r>
      <w:r w:rsidDel="00000000" w:rsidR="00000000" w:rsidRPr="00000000">
        <w:rPr>
          <w:rFonts w:ascii="Google Sans" w:cs="Google Sans" w:eastAsia="Google Sans" w:hAnsi="Google Sans"/>
          <w:color w:val="1f1f1f"/>
          <w:rtl w:val="0"/>
        </w:rPr>
        <w:t xml:space="preserve">), el enfoque estructural de diseñar una instalación fabril cien por ciento dedicada y exclusiva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erradica de base los vectores externos y los riesgos catastróficos de contaminación cruzada con trigo proveniente de líneas adyacentes. Sin embargo, las altas exigencias de las normativas internacionales de auditoría proyectadas por la empresa, específicamente la adopción y certificación del rigoroso esquema FSSC 22000 (Versión 6, obligatoria desde abril de 2024) </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exigen un grado de tecnologización intra-planta profundo, continuo y documentado.</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Esta reciente versión de la norma impone nuevos requisitos mandatorios focalizados fuertemente en la Cultura de Inocuidad Alimentaria (</w:t>
      </w:r>
      <w:r w:rsidDel="00000000" w:rsidR="00000000" w:rsidRPr="00000000">
        <w:rPr>
          <w:rFonts w:ascii="Google Sans" w:cs="Google Sans" w:eastAsia="Google Sans" w:hAnsi="Google Sans"/>
          <w:i w:val="1"/>
          <w:iCs w:val="1"/>
          <w:color w:val="1f1f1f"/>
          <w:rtl w:val="0"/>
        </w:rPr>
        <w:t xml:space="preserve">Food Safety Culture</w:t>
      </w:r>
      <w:r w:rsidDel="00000000" w:rsidR="00000000" w:rsidRPr="00000000">
        <w:rPr>
          <w:rFonts w:ascii="Google Sans" w:cs="Google Sans" w:eastAsia="Google Sans" w:hAnsi="Google Sans"/>
          <w:color w:val="1f1f1f"/>
          <w:rtl w:val="0"/>
        </w:rPr>
        <w:t xml:space="preserve">), la prevención del Fraude Alimentario (</w:t>
      </w:r>
      <w:r w:rsidDel="00000000" w:rsidR="00000000" w:rsidRPr="00000000">
        <w:rPr>
          <w:rFonts w:ascii="Google Sans" w:cs="Google Sans" w:eastAsia="Google Sans" w:hAnsi="Google Sans"/>
          <w:i w:val="1"/>
          <w:iCs w:val="1"/>
          <w:color w:val="1f1f1f"/>
          <w:rtl w:val="0"/>
        </w:rPr>
        <w:t xml:space="preserve">Food Fraud</w:t>
      </w:r>
      <w:r w:rsidDel="00000000" w:rsidR="00000000" w:rsidRPr="00000000">
        <w:rPr>
          <w:rFonts w:ascii="Google Sans" w:cs="Google Sans" w:eastAsia="Google Sans" w:hAnsi="Google Sans"/>
          <w:color w:val="1f1f1f"/>
          <w:rtl w:val="0"/>
        </w:rPr>
        <w:t xml:space="preserve">) y la mitigación de actos de sabotaje intencional o Defensa Alimentaria (</w:t>
      </w:r>
      <w:r w:rsidDel="00000000" w:rsidR="00000000" w:rsidRPr="00000000">
        <w:rPr>
          <w:rFonts w:ascii="Google Sans" w:cs="Google Sans" w:eastAsia="Google Sans" w:hAnsi="Google Sans"/>
          <w:i w:val="1"/>
          <w:iCs w:val="1"/>
          <w:color w:val="1f1f1f"/>
          <w:rtl w:val="0"/>
        </w:rPr>
        <w:t xml:space="preserve">Food Defense</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Para satisfacer estos estándares de clase mundial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la planta ubicada en el Parque Industrial Garín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deberá operar con sistemas informáticos robustos como un software MRP (Planeación de Requerimientos de Materiales) y ERP integrados para orquestar la segregación estricta y paramétrica de lotes de insumos mediante el sistema FIFO (Primero en Entrar, Primero en Salir) en sus almacenes.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nivel de maquinaria, la integración de escáneres ópticos y tecnología RFID para la trazabilidad digital del inventario de materias primas a granel (harinas de arroz y féculas procedentes del litoral o centro del país) es vital para rastrear el origen exacto de los sacos y los certificados analíticos de los proveedores.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La automatización de la línea de inspección final mediante detectores de metales de alta sensibilidad y equipos de control dinámico de peso (checkweighers) acoplados directamente a la envasadora vertical y a la red de aire comprimido neumática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sitúan tecnológicamente al proyecto a la vanguardia, garantizando que el producto despachado cumple milimétricamente con el límite inferior a 10 ppm, protegiendo la certificación ANMAT y blindando legal y comercialmente el prestigio de la marca.</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Entorno Ecológico y Ambiental</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paradigma ineludible de la sustentabilidad, la economía circular, la reducción de la huella de carbono y la protección del medio ambiente ha trascendido la frontera de la responsabilidad social corporativa para transformarse en un componente medular, riguroso y punitivo de las regulaciones gubernamentales locales. Estas dinámicas de cumplimiento ambiental impactan de frente la ingeniería civil, la gestión de pasivos ambientales y la estructura de costos operativos de las nuevas plantas manufactureras.</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 El proyecto analizado, al haber definido mediante su matriz de microlocalización la radicación de la matriz productiva y operativa en el nodo logístico del Parque Industrial de Garín (zonificación industrial en el Partido de Escobar, GBA Norte)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queda circunscrito y directamente subordinado a la intensa y reciente actualización del marco normativo ambiental de la Provincia de Buenos Aires.</w:t>
      </w:r>
      <w:r w:rsidDel="00000000" w:rsidR="00000000" w:rsidRPr="00000000">
        <w:rPr>
          <w:rFonts w:ascii="Google Sans" w:cs="Google Sans" w:eastAsia="Google Sans" w:hAnsi="Google Sans"/>
          <w:color w:val="444746"/>
          <w:sz w:val="24"/>
          <w:szCs w:val="24"/>
          <w:vertAlign w:val="superscript"/>
          <w:rtl w:val="0"/>
        </w:rPr>
        <w:t xml:space="preserve">59</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Quiebre Regulatorio: Régimen de Residuos Industriales No Especiales (RINE)</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 acontecimiento disruptivo, tectónico y de carácter obligatorio en el entorno ecológico bonaerense es la promulgación, reglamentación y entrada en vigencia plena de la Resolución N° 60/2026, firmada y dictada por el Ministerio de Ambiente de la Provincia de Buenos Aires el 17 de abril de 2026.</w:t>
      </w:r>
      <w:r w:rsidDel="00000000" w:rsidR="00000000" w:rsidRPr="00000000">
        <w:rPr>
          <w:rFonts w:ascii="Google Sans" w:cs="Google Sans" w:eastAsia="Google Sans" w:hAnsi="Google Sans"/>
          <w:color w:val="444746"/>
          <w:sz w:val="24"/>
          <w:szCs w:val="24"/>
          <w:vertAlign w:val="superscript"/>
          <w:rtl w:val="0"/>
        </w:rPr>
        <w:t xml:space="preserve">60</w:t>
      </w:r>
      <w:r w:rsidDel="00000000" w:rsidR="00000000" w:rsidRPr="00000000">
        <w:rPr>
          <w:rFonts w:ascii="Google Sans" w:cs="Google Sans" w:eastAsia="Google Sans" w:hAnsi="Google Sans"/>
          <w:color w:val="1f1f1f"/>
          <w:rtl w:val="0"/>
        </w:rPr>
        <w:t xml:space="preserve"> Esta normativa provincial de vanguardia crea, por primera vez en la historia reciente de la jurisdicción, un marco regulatorio altamente específico, riguroso y punitivo aplicable a la gestión integral de los denominados Residuos Industriales No Especiales (RINE).</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 El espíritu de la ley busca erradicar la peligrosa ambigüedad legal, el vacío administrativo y la negligencia que permitía a las empresas manufactureras clasificar y disponer sus desechos industriales orgánicos asimilándolos de manera laxa e irresponsable como si fueran simples residuos sólidos urbanos o domiciliarios (RSU), derivándolos hacia vertederos municipales no preparados.</w:t>
      </w:r>
      <w:r w:rsidDel="00000000" w:rsidR="00000000" w:rsidRPr="00000000">
        <w:rPr>
          <w:rFonts w:ascii="Google Sans" w:cs="Google Sans" w:eastAsia="Google Sans" w:hAnsi="Google Sans"/>
          <w:color w:val="444746"/>
          <w:sz w:val="24"/>
          <w:szCs w:val="24"/>
          <w:vertAlign w:val="superscript"/>
          <w:rtl w:val="0"/>
        </w:rPr>
        <w:t xml:space="preserve">55</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industria de procesamiento alimentario y, en particular, el rubro de la panificación y pastelería intensiva (galletitas, budines), se caracteriza intrínsecamente por la generación de un elevado, constante y problemático volumen de descartes biológicos y mermas.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Las operaciones diarias en la planta de Garín generarán sistemáticamente toneladas de recortes de masa cruda no conforme, mermas de arranque de línea, natas de aceites vegetales interesterificados provenientes de la limpieza de freidoras u hornos, restos viscosos altamente azucarados, lodos decantados, polvo fino ambiental capturado por los extractores y embalajes primarios, láminas multicapa o cartones defectuosos.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Bajo la férrea tutela de la nueva Resolución 60/2026, la empresa generadora no podrá simplemente tercerizar el problema a la municipalidad.</w:t>
      </w:r>
      <w:r w:rsidDel="00000000" w:rsidR="00000000" w:rsidRPr="00000000">
        <w:rPr>
          <w:rFonts w:ascii="Google Sans" w:cs="Google Sans" w:eastAsia="Google Sans" w:hAnsi="Google Sans"/>
          <w:color w:val="444746"/>
          <w:sz w:val="24"/>
          <w:szCs w:val="24"/>
          <w:vertAlign w:val="superscript"/>
          <w:rtl w:val="0"/>
        </w:rPr>
        <w:t xml:space="preserve">60</w:t>
      </w:r>
      <w:r w:rsidDel="00000000" w:rsidR="00000000" w:rsidRPr="00000000">
        <w:rPr>
          <w:rFonts w:ascii="Google Sans" w:cs="Google Sans" w:eastAsia="Google Sans" w:hAnsi="Google Sans"/>
          <w:color w:val="1f1f1f"/>
          <w:rtl w:val="0"/>
        </w:rPr>
        <w:t xml:space="preserve"> La planta industrial de Garín estará administrativamente obligada a inscribirse de manera formal y perentoria en el novel "Registro Provincial de Generadores de Residuos Industriales No Especiales", debiendo sostener la carga administrativa de elaborar, firmar y presentar sistemáticamente declaraciones juradas periódicas ante la Subsecretaría de Control y Fiscalización Ambiental, detallando con exactitud métrica la trazabilidad y los volúmenes en toneladas de los pasivos ambientales emitidos.</w:t>
      </w:r>
      <w:r w:rsidDel="00000000" w:rsidR="00000000" w:rsidRPr="00000000">
        <w:rPr>
          <w:rFonts w:ascii="Google Sans" w:cs="Google Sans" w:eastAsia="Google Sans" w:hAnsi="Google Sans"/>
          <w:color w:val="444746"/>
          <w:sz w:val="24"/>
          <w:szCs w:val="24"/>
          <w:vertAlign w:val="superscript"/>
          <w:rtl w:val="0"/>
        </w:rPr>
        <w:t xml:space="preserve">61</w:t>
      </w:r>
      <w:r w:rsidDel="00000000" w:rsidR="00000000" w:rsidRPr="00000000">
        <w:rPr>
          <w:rFonts w:ascii="Google Sans" w:cs="Google Sans" w:eastAsia="Google Sans" w:hAnsi="Google Sans"/>
          <w:color w:val="1f1f1f"/>
          <w:rtl w:val="0"/>
        </w:rPr>
        <w:t xml:space="preserve"> Más importante aún desde la perspectiva operativa y financiera, la normativa prohíbe el descarte libre y exige que el proyecto costee y acredite fehacientemente, mediante la obtención de certificados oficiales expedidos por operadores privados habilitados y fiscalizados, el tratamiento, el reciclaje físico-químico, la disposición final controlada o la valorización energética de todos sus pasivos ambientales.</w:t>
      </w:r>
      <w:r w:rsidDel="00000000" w:rsidR="00000000" w:rsidRPr="00000000">
        <w:rPr>
          <w:rFonts w:ascii="Google Sans" w:cs="Google Sans" w:eastAsia="Google Sans" w:hAnsi="Google Sans"/>
          <w:color w:val="444746"/>
          <w:sz w:val="24"/>
          <w:szCs w:val="24"/>
          <w:vertAlign w:val="superscript"/>
          <w:rtl w:val="0"/>
        </w:rPr>
        <w:t xml:space="preserve">62</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su vez, la complejidad legal y ecológica de la normativa instituye el principio preventivo y de precaución mediante el concepto jurídico de "residuos espejo".</w:t>
      </w:r>
      <w:r w:rsidDel="00000000" w:rsidR="00000000" w:rsidRPr="00000000">
        <w:rPr>
          <w:rFonts w:ascii="Google Sans" w:cs="Google Sans" w:eastAsia="Google Sans" w:hAnsi="Google Sans"/>
          <w:color w:val="444746"/>
          <w:sz w:val="24"/>
          <w:szCs w:val="24"/>
          <w:vertAlign w:val="superscript"/>
          <w:rtl w:val="0"/>
        </w:rPr>
        <w:t xml:space="preserve">61</w:t>
      </w:r>
      <w:r w:rsidDel="00000000" w:rsidR="00000000" w:rsidRPr="00000000">
        <w:rPr>
          <w:rFonts w:ascii="Google Sans" w:cs="Google Sans" w:eastAsia="Google Sans" w:hAnsi="Google Sans"/>
          <w:color w:val="1f1f1f"/>
          <w:rtl w:val="0"/>
        </w:rPr>
        <w:t xml:space="preserve"> Este mecanismo administrativo asume inicialmente una presunción de peligrosidad sobre ciertos efluentes dudosos, requiriendo y exigiendo que el departamento técnico del proyecto deba demostrar proactivamente —mediante la contratación de protocolos de análisis de laboratorio, muestreos físico-químicos certificados y cadenas de custodia— que sus efluentes acuosos y lodos grasos, provenientes de los exigentes y constantes ciclos de lavado (CIP) requeridos para sanitizar las pesadas amasadoras industriales, batidoras y cintas transportadoras, no superan parámetros críticos (como la Demanda Biológica de Oxígeno - DBO) ni son agentes tóxicos o contaminantes para las napas freáticas o el ecosistema circundante.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Esta exigencia ambiental ratifica, fundamenta y magnifica enormemente la importancia estratégica del correcto dimensionamiento, ingeniería y capacidad volumétrica de la Planta de Tratamiento de Efluentes líquidos (PTE) detallada y presupuestada como un módulo crítico en el capítulo de prefactibilidad de infraestructura del proyecto.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Subestimar el caudal o la carga orgánica de los vertidos no solo generará un colapso operativo en la red de desagües cloacales del Parque Industrial, sino que acarreará penalidades, multas indexadas y el riesgo inminente de paralización o clausura temporal de la fábrica.</w:t>
      </w:r>
      <w:r w:rsidDel="00000000" w:rsidR="00000000" w:rsidRPr="00000000">
        <w:rPr>
          <w:rFonts w:ascii="Google Sans" w:cs="Google Sans" w:eastAsia="Google Sans" w:hAnsi="Google Sans"/>
          <w:color w:val="444746"/>
          <w:sz w:val="24"/>
          <w:szCs w:val="24"/>
          <w:vertAlign w:val="superscript"/>
          <w:rtl w:val="0"/>
        </w:rPr>
        <w:t xml:space="preserve">62</w:t>
      </w:r>
      <w:r w:rsidDel="00000000" w:rsidR="00000000" w:rsidRPr="00000000">
        <w:rPr>
          <w:rFonts w:ascii="Google Sans" w:cs="Google Sans" w:eastAsia="Google Sans" w:hAnsi="Google Sans"/>
          <w:color w:val="1f1f1f"/>
          <w:rtl w:val="0"/>
        </w:rPr>
        <w:t xml:space="preserve"> Inversamente, la nueva ley provincial premia la innovación ecológica: aquellas empresas que logren articular e implementar estrategias inteligentes de "simbiosis industrial" o "economía circular" —tales como la derivación legal, segregada y certificada de sus millonarias mermas orgánicas de budines y galletas defectuosas hacia plantas dedicadas a la fabricación de harinas para alimentación animal controlada, plantas de compostaje industrial a gran escala o reactores de generación de biogás— gozarán de ventajas y exenciones regulatorias, logrando transformar un pesado centro de costos operativos (el pago por retiro de basura) en una potencial y virtuosa vía de minimización de pérdidas, e incluso en la generación de un subproducto comercializable que mejore marginalmente el cuadro de resultados.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Paradigma del Packaging Sustentable y la Fricción con la Cadena de Frío Tecnológica</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final del ciclo de vida del envase plástico alimentario, y su desastroso impacto en la saturación de los rellenos sanitarios y la contaminación oceánica, es hoy una de las preocupaciones ecológicas, mediáticas y legislativas más latentes, ejerciendo una colosal presión sobre las marcas de bienes de consumo rápido (FMCG).</w:t>
      </w:r>
      <w:r w:rsidDel="00000000" w:rsidR="00000000" w:rsidRPr="00000000">
        <w:rPr>
          <w:rFonts w:ascii="Google Sans" w:cs="Google Sans" w:eastAsia="Google Sans" w:hAnsi="Google Sans"/>
          <w:color w:val="444746"/>
          <w:sz w:val="24"/>
          <w:szCs w:val="24"/>
          <w:vertAlign w:val="superscript"/>
          <w:rtl w:val="0"/>
        </w:rPr>
        <w:t xml:space="preserve">64</w:t>
      </w:r>
      <w:r w:rsidDel="00000000" w:rsidR="00000000" w:rsidRPr="00000000">
        <w:rPr>
          <w:rFonts w:ascii="Google Sans" w:cs="Google Sans" w:eastAsia="Google Sans" w:hAnsi="Google Sans"/>
          <w:color w:val="1f1f1f"/>
          <w:rtl w:val="0"/>
        </w:rPr>
        <w:t xml:space="preserve"> Las prospectivas y tendencias ineludibles que delinean la hoja de ruta de la industria del empaquetado alimentario para el año 2026 y 2027 marcan una transición acelerada, impulsada por legislaciones inminentes de Responsabilidad Extendida del Productor (REP) y el rechazo del consumidor educado, hacia el abandono de los plásticos vírgenes de un solo uso.</w:t>
      </w:r>
      <w:r w:rsidDel="00000000" w:rsidR="00000000" w:rsidRPr="00000000">
        <w:rPr>
          <w:rFonts w:ascii="Google Sans" w:cs="Google Sans" w:eastAsia="Google Sans" w:hAnsi="Google Sans"/>
          <w:color w:val="444746"/>
          <w:sz w:val="24"/>
          <w:szCs w:val="24"/>
          <w:vertAlign w:val="superscript"/>
          <w:rtl w:val="0"/>
        </w:rPr>
        <w:t xml:space="preserve">65</w:t>
      </w:r>
      <w:r w:rsidDel="00000000" w:rsidR="00000000" w:rsidRPr="00000000">
        <w:rPr>
          <w:rFonts w:ascii="Google Sans" w:cs="Google Sans" w:eastAsia="Google Sans" w:hAnsi="Google Sans"/>
          <w:color w:val="1f1f1f"/>
          <w:rtl w:val="0"/>
        </w:rPr>
        <w:t xml:space="preserve"> Existe un mandato claro por migrar hacia envases fabricados a partir de resinas monomateriales que garanticen un 100% de reciclabilidad real en origen, o bien la imperativa incorporación técnica de porcentajes crecientes de plástico PET reciclado post-consumo (rPET) en las matrices de envasado.</w:t>
      </w:r>
      <w:r w:rsidDel="00000000" w:rsidR="00000000" w:rsidRPr="00000000">
        <w:rPr>
          <w:rFonts w:ascii="Google Sans" w:cs="Google Sans" w:eastAsia="Google Sans" w:hAnsi="Google Sans"/>
          <w:color w:val="444746"/>
          <w:sz w:val="24"/>
          <w:szCs w:val="24"/>
          <w:vertAlign w:val="superscript"/>
          <w:rtl w:val="0"/>
        </w:rPr>
        <w:t xml:space="preserve">56</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un proyecto de productos de especialidad y alto valor percibido que fundamenta su manipulación final en el empaquetado intensivo, empleando bandejas termoformadas de soporte, separadores plásticos internos y envoltorios herméticos tipo "flow-pack" poliméricos (para sus 7 SKU)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la fase de selección, homologación y desarrollo con proveedores de packaging ha dejado de ser una mera transacción económica guiada por el costo por unidad; se ha transformado en un imperativo estratégico de responsabilidad social corporativa y una necesidad de cumplimiento normativo y auditoría de marca en las góndolas minoristas.</w:t>
      </w:r>
      <w:r w:rsidDel="00000000" w:rsidR="00000000" w:rsidRPr="00000000">
        <w:rPr>
          <w:rFonts w:ascii="Google Sans" w:cs="Google Sans" w:eastAsia="Google Sans" w:hAnsi="Google Sans"/>
          <w:color w:val="444746"/>
          <w:sz w:val="24"/>
          <w:szCs w:val="24"/>
          <w:vertAlign w:val="superscript"/>
          <w:rtl w:val="0"/>
        </w:rPr>
        <w:t xml:space="preserve">64</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enorme, complejo y costoso desafío de ingeniería ecológica, técnica y financiera radica en conciliar dos vectores industriales que traccionan en direcciones tecnológicamente opuestas. Por un lado, se encuentra la absoluta necesidad biológica y de preservación comercial —analizada en el entorno tecnológico— de utilizar películas flexibles y films trilaminados o coextruidos de altísima y hermética barrera frente a los gases (oxígeno y vapor de agua). Estos laminados complejos (que suelen fusionar capas de PET, EVOH o aluminio) son la barrera técnica insustituible para retener eficazmente la Atmósfera Modificada (MAP), evitar la oxidación de los ácidos grasos de las pepas, bloquear la fuga de la humedad de los budines y garantizar mecánicamente la vida útil y la crocancia de las galletas a lo largo de su periplo logístico federal.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Sin embargo, la propia naturaleza química multicapa de estos insumos plásticos los hace funcional, económica y mecánicamente imposibles de reciclar en los flujos y plantas de separación convencionales de residuos municipales.</w:t>
      </w:r>
      <w:r w:rsidDel="00000000" w:rsidR="00000000" w:rsidRPr="00000000">
        <w:rPr>
          <w:rFonts w:ascii="Google Sans" w:cs="Google Sans" w:eastAsia="Google Sans" w:hAnsi="Google Sans"/>
          <w:color w:val="444746"/>
          <w:sz w:val="24"/>
          <w:szCs w:val="24"/>
          <w:vertAlign w:val="superscript"/>
          <w:rtl w:val="0"/>
        </w:rPr>
        <w:t xml:space="preserve">67</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Por otro lado, choca frontalmente con la legítima e insoslayable exigencia estética y ética de sustentabilidad impulsada, demandada y pagada por el nicho del mercado premium y vegano consciente al cual la empresa desea acceder con avidez y fidelizar a largo plazo.</w:t>
      </w:r>
      <w:r w:rsidDel="00000000" w:rsidR="00000000" w:rsidRPr="00000000">
        <w:rPr>
          <w:rFonts w:ascii="Google Sans" w:cs="Google Sans" w:eastAsia="Google Sans" w:hAnsi="Google Sans"/>
          <w:color w:val="444746"/>
          <w:sz w:val="24"/>
          <w:szCs w:val="24"/>
          <w:vertAlign w:val="superscript"/>
          <w:rtl w:val="0"/>
        </w:rPr>
        <w:t xml:space="preserve">65</w:t>
      </w:r>
      <w:r w:rsidDel="00000000" w:rsidR="00000000" w:rsidRPr="00000000">
        <w:rPr>
          <w:rFonts w:ascii="Google Sans" w:cs="Google Sans" w:eastAsia="Google Sans" w:hAnsi="Google Sans"/>
          <w:color w:val="1f1f1f"/>
          <w:rtl w:val="0"/>
        </w:rPr>
        <w:t xml:space="preserve"> Adoptar un embalaje visualmente atractivo, biodegradable, compostable o monomaterial simplificado es un mandato del marketing verde moderno, pero dichos materiales alternativos suelen presentar propiedades físicas de barrera gaseosa groseramente inferiores al plástico trilaminado tradicional.</w:t>
      </w:r>
      <w:r w:rsidDel="00000000" w:rsidR="00000000" w:rsidRPr="00000000">
        <w:rPr>
          <w:rFonts w:ascii="Google Sans" w:cs="Google Sans" w:eastAsia="Google Sans" w:hAnsi="Google Sans"/>
          <w:color w:val="444746"/>
          <w:sz w:val="24"/>
          <w:szCs w:val="24"/>
          <w:vertAlign w:val="superscript"/>
          <w:rtl w:val="0"/>
        </w:rPr>
        <w:t xml:space="preserve">67</w:t>
      </w:r>
      <w:r w:rsidDel="00000000" w:rsidR="00000000" w:rsidRPr="00000000">
        <w:rPr>
          <w:rFonts w:ascii="Google Sans" w:cs="Google Sans" w:eastAsia="Google Sans" w:hAnsi="Google Sans"/>
          <w:color w:val="1f1f1f"/>
          <w:rtl w:val="0"/>
        </w:rPr>
        <w:t xml:space="preserve"> Esta inferioridad técnica colapsa la vida de anaquel de los budines y panes de molde, exponiéndolos a una rápida desecación (staling prematuro) o a la floración acelerada de colonias fúngicas perjudiciales antes de la fecha de vencimiento declarada, arruinando la calidad del producto y la reputación de la marca.</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 Navegar este tenso y costoso compromiso (trade-off) entre salvaguardar la excelencia del rendimiento técnico para maximizar la vida útil y abrazar las soluciones de sustentabilidad circular (sin encarecer prohibitivamente el costo de envasado marginal ni violar las nuevas normativas ecológicas provinciales y nacionales) será un factor neurálgico que determinará la aceptación, rentabilidad y longevidad del producto en el saturado ecosistema del retail moderno.</w:t>
      </w:r>
      <w:r w:rsidDel="00000000" w:rsidR="00000000" w:rsidRPr="00000000">
        <w:rPr>
          <w:rFonts w:ascii="Google Sans" w:cs="Google Sans" w:eastAsia="Google Sans" w:hAnsi="Google Sans"/>
          <w:color w:val="444746"/>
          <w:sz w:val="24"/>
          <w:szCs w:val="24"/>
          <w:vertAlign w:val="superscript"/>
          <w:rtl w:val="0"/>
        </w:rPr>
        <w:t xml:space="preserve">64</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su vez, en este ecosistema hiper-regulado, el marco regulatorio trasciende el entorno externo de la calle e ingresa en los manuales operativos internos. La última e imperativa versión 6 del exigente esquema de certificación de calidad y seguridad FSSC 22000, seleccionado para la matriz de Garín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introdujo auditorías con requisitos específicos y no negociables sobre la gestión ecológica fabril.</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Exige explícita y documentalmente a las corporaciones la redacción, implementación auditable y mantenimiento de políticas y métricas agresivas orientadas a la minimización obligatoria de la pérdida y el desperdicio de materia prima y alimentos (Food Loss and Waste) como un componente intrínseco e indivisible de la cultura de inocuidad en el corazón de la planta.</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El ecosistema regulatorio, ecológico y social del año 2026 penaliza la negligencia, la miopía y la ineficiencia productiva de desperdiciar recursos naturales o masa no solamente a través del inevitable y doloroso desangre en el cuadro de pérdidas y ganancias de la compañía, sino mediante la aplicación de multas, daños reputacionales severos en redes sociales y la potencial reprobación temporal de las licencias certificadoras de calidad que dan pasaporte a la venta institucional.</w:t>
      </w:r>
      <w:r w:rsidDel="00000000" w:rsidR="00000000" w:rsidRPr="00000000">
        <w:rPr>
          <w:rFonts w:ascii="Google Sans" w:cs="Google Sans" w:eastAsia="Google Sans" w:hAnsi="Google Sans"/>
          <w:color w:val="444746"/>
          <w:sz w:val="24"/>
          <w:szCs w:val="24"/>
          <w:vertAlign w:val="superscript"/>
          <w:rtl w:val="0"/>
        </w:rPr>
        <w:t xml:space="preserve">52</w:t>
      </w:r>
    </w:p>
    <w:p w:rsidR="00000000" w:rsidDel="00000000" w:rsidP="00000000" w:rsidRDefault="00000000" w:rsidRPr="00000000" w14:paraId="0000008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Síntesis Estratégica: Dimensionamiento de Oportunidades y Amenazas Críticas</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partir de la ejecución minuciosa y la decantación holística del análisis profundo del macroentorno nacional —diseccionado sistemáticamente a través del prisma de las seis dimensiones de la matriz PESTEL (político, legal, económico, social, tecnológico y ecológico)—, emergen patrones, tendencias y vectores ineludibles. Estos factores actúan como determinantes absolutos que condicionarán, facilitarán u obstaculizarán la ejecución táctica y la rentabilidad proyectada del plan de negocios y las operaciones en la planta de Garín.</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 síntesis ejecutiva abstrae la vasta cantidad de datos recopilados en inteligencia accionable, proveyendo a la alta gerencia y a los inversores las bases analíticas y argumentales sólidas requeridas para la posterior confección metodológica de una matriz de riesgos cruzada FODA (Fortalezas, Oportunidades, Debilidades, Amenazas).</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continuación, se delinean las tres (3) áreas de apalancamiento que la empresa debe capitalizar para maximizar el retorno de su inversión y asegurar la penetración de mercado, así como las tres (3) vulnerabilidades de impacto catastrófico potencial cuya mitigación inmediata debe priorizarse.</w:t>
      </w:r>
    </w:p>
    <w:p w:rsidR="00000000" w:rsidDel="00000000" w:rsidP="00000000" w:rsidRDefault="00000000" w:rsidRPr="00000000" w14:paraId="0000009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Las 3 Oportunidades Más Grandes del Macroentorno</w:t>
      </w:r>
    </w:p>
    <w:p w:rsidR="00000000" w:rsidDel="00000000" w:rsidP="00000000" w:rsidRDefault="00000000" w:rsidRPr="00000000" w14:paraId="00000093">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Demanda Subvencionada e Inelástica como Piso de Ingresos Financieros Garantizados (Intersección Político-Legal y Económica):</w:t>
      </w:r>
      <w:r w:rsidDel="00000000" w:rsidR="00000000" w:rsidRPr="00000000">
        <w:rPr>
          <w:rFonts w:ascii="Google Sans" w:cs="Google Sans" w:eastAsia="Google Sans" w:hAnsi="Google Sans"/>
          <w:color w:val="1f1f1f"/>
          <w:rtl w:val="0"/>
        </w:rPr>
        <w:t xml:space="preserve"> En el turbulento e inestable océano de la macroeconomía nacional argentina para 2026, la robusta consolidación, reglamentación y la implementación de la actualización semestral automática de los elevados montos de cobertura dineraria ($13.160 mensuales ajustados por IPC) establecidos y obligados a las obras sociales y empresas de medicina prepaga por la Ley Nacional Celíaca (N° 26.588 y su modificatoria N° 27.196) actúan como el ancla financiera fundamental y el seguro de vida comercial del proyecto.</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Estas disposiciones legales garantizan jurídicamente que el extenso núcleo demográfico cautivo de la población celíaca formalmente diagnosticada mantenga una alta capacidad de liquidez y compra estructural constante para la categoría específica libre de gluten, independientemente de los cimbronazos cíclicos en el poder adquisitivo del salario general.</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Ante la severa contracción de ventas que asola al consumo masivo, contar exógenamente con este subsidio monetario inyectado directamente para la adquisición de la canasta alimentaria "Sin TACC" deprime o neutraliza casi en su totalidad la volatilidad y la elasticidad cruzada de este segmento de la economía.</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Esto le ofrece al plan comercial del proyecto un invaluable e insustituible "piso de demanda sólida" sobre el cual basar su plan de previsión de ventas y proyecciones de Cash Flow para los críticos años de inicio de explotación.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4">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Convergencia Tecnológica Superior para Viabilizar el 'Clean Label' a Escala Industrial (Intersección Tecnológica y Social):</w:t>
      </w:r>
      <w:r w:rsidDel="00000000" w:rsidR="00000000" w:rsidRPr="00000000">
        <w:rPr>
          <w:rFonts w:ascii="Google Sans" w:cs="Google Sans" w:eastAsia="Google Sans" w:hAnsi="Google Sans"/>
          <w:color w:val="1f1f1f"/>
          <w:rtl w:val="0"/>
        </w:rPr>
        <w:t xml:space="preserve"> El estadio de maduración tecnológica para la industria panadera alcanzado en 2026, expresado a través del perfeccionamiento en el diseño biotecnológico y la accesibilidad económica de los complejos de enzimas panaderas (amilasas, xilanasas y lipasas de última generación), junto con la sinergia de mezclas avanzadas de hidrocoloides aglutinantes de alta retención de humedad y sistemas automatizados de envasado en atmósfera modificada protectora (MAP), representa una ventaja competitiva y temporal de misión crítica.</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Históricamente, la peor limitación limitante física y barrera de adopción de la bollería libre de gluten en canales de conveniencia era su textura friable y su rápida y desagradable pérdida de humedad, frescura y sabor a los escasos días de producción.</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La calibrada y experta aplicación de estas soluciones tecno-alimentarias de vanguardia a las recetas del equipo de I+D en Garín le permitirá a la compañía extender drásticamente la vida útil en góndola (</w:t>
      </w:r>
      <w:r w:rsidDel="00000000" w:rsidR="00000000" w:rsidRPr="00000000">
        <w:rPr>
          <w:rFonts w:ascii="Google Sans" w:cs="Google Sans" w:eastAsia="Google Sans" w:hAnsi="Google Sans"/>
          <w:i w:val="1"/>
          <w:iCs w:val="1"/>
          <w:color w:val="1f1f1f"/>
          <w:rtl w:val="0"/>
        </w:rPr>
        <w:t xml:space="preserve">shelf-life</w:t>
      </w:r>
      <w:r w:rsidDel="00000000" w:rsidR="00000000" w:rsidRPr="00000000">
        <w:rPr>
          <w:rFonts w:ascii="Google Sans" w:cs="Google Sans" w:eastAsia="Google Sans" w:hAnsi="Google Sans"/>
          <w:color w:val="1f1f1f"/>
          <w:rtl w:val="0"/>
        </w:rPr>
        <w:t xml:space="preserve">), escalar de producciones artesanales locales a enormes volúmenes industriales y alcanzar la ambiciosa penetración y capilaridad en rutas de distribución nacional logística de largas distancias detallada en el plan general.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Lo que es aún más vital para el modelo de ingresos, logrará cumplir el doble desafío productivo: mantener este alto nivel cualitativo de frescura extendida erradicando totalmente el uso de la perjudicial química de conservantes artificiales (propionato/sorbato) o altos niveles de sodio en su pan de molde y budines.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Esto permite a la marca cumplir cabalmente, con honestidad y respaldo empírico con las exigentes y lucrativas expectativas sociales macro que claman y exigen productos alimenticios ultra-saludables, "de etiqueta limpia" o funcionales, altamente nutritivos y de estricto origen vegetal (</w:t>
      </w:r>
      <w:r w:rsidDel="00000000" w:rsidR="00000000" w:rsidRPr="00000000">
        <w:rPr>
          <w:rFonts w:ascii="Google Sans" w:cs="Google Sans" w:eastAsia="Google Sans" w:hAnsi="Google Sans"/>
          <w:i w:val="1"/>
          <w:iCs w:val="1"/>
          <w:color w:val="1f1f1f"/>
          <w:rtl w:val="0"/>
        </w:rPr>
        <w:t xml:space="preserve">plant-based</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95">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Apalancamiento de la Atomización de los Canales de Venta Minoristas y Foco Profundo en la Salud Funcional Preventiva (Intersección Social y Económica):</w:t>
      </w:r>
      <w:r w:rsidDel="00000000" w:rsidR="00000000" w:rsidRPr="00000000">
        <w:rPr>
          <w:rFonts w:ascii="Google Sans" w:cs="Google Sans" w:eastAsia="Google Sans" w:hAnsi="Google Sans"/>
          <w:color w:val="1f1f1f"/>
          <w:rtl w:val="0"/>
        </w:rPr>
        <w:t xml:space="preserve"> El masivo y sostenido cambio de comportamiento derivado de la crisis inflacionaria ha precipitado la drástica migración de la sociedad compradora argentina, alejándose apresuradamente de las rutinas de consumo genérico de </w:t>
      </w:r>
      <w:r w:rsidDel="00000000" w:rsidR="00000000" w:rsidRPr="00000000">
        <w:rPr>
          <w:rFonts w:ascii="Google Sans" w:cs="Google Sans" w:eastAsia="Google Sans" w:hAnsi="Google Sans"/>
          <w:i w:val="1"/>
          <w:iCs w:val="1"/>
          <w:color w:val="1f1f1f"/>
          <w:rtl w:val="0"/>
        </w:rPr>
        <w:t xml:space="preserve">stockeo</w:t>
      </w:r>
      <w:r w:rsidDel="00000000" w:rsidR="00000000" w:rsidRPr="00000000">
        <w:rPr>
          <w:rFonts w:ascii="Google Sans" w:cs="Google Sans" w:eastAsia="Google Sans" w:hAnsi="Google Sans"/>
          <w:color w:val="1f1f1f"/>
          <w:rtl w:val="0"/>
        </w:rPr>
        <w:t xml:space="preserve"> ciego o impulsivo en el supermercado o hipermercado de grandes superficies comerciales, adoptando una cultura altamente fragmentada de abastecimiento basada en visitas diarias y calculadas a establecimientos de cercanía.</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En conjunción indisoluble con un revolucionario enfoque intelectual que concibe la nutrición como la base preventiva y correctiva de la salud a largo plazo, este escenario abre una inmensa autopista de penetración y adopción comercial para productos especializados e hiper-segmentados.</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Al aunar los atributos buscados de "100% libre de gluten/TACC", con ingredientes enteramente basados en plantas (veganos), garantizada ausencia total de lácteos u otros alérgenos industriales y endulzantes orgánicos, el porfolio del proyecto cruza transversalmente múltiples, millonarias y fervientes comunidades de consumo en expansión (desde celíacos crónicos y veganos éticos, hasta el boyante segmento de flexitarianos, deportistas e individuos intolerantes a lactosa).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Posicionar estratégicamente los polvorones, bizcochos y budines a través de canales capilares cerrados, directos o selectivos (como almacenes naturales, dietéticas barriales regionales o de especialidad y, fundamentalmente, explotando el canal farmacéutico B2B) puede lograr generar sustancialmente mayores métricas de rentabilidad comercial y rotación de </w:t>
      </w:r>
      <w:r w:rsidDel="00000000" w:rsidR="00000000" w:rsidRPr="00000000">
        <w:rPr>
          <w:rFonts w:ascii="Google Sans" w:cs="Google Sans" w:eastAsia="Google Sans" w:hAnsi="Google Sans"/>
          <w:i w:val="1"/>
          <w:iCs w:val="1"/>
          <w:color w:val="1f1f1f"/>
          <w:rtl w:val="0"/>
        </w:rPr>
        <w:t xml:space="preserve">stock</w:t>
      </w:r>
      <w:r w:rsidDel="00000000" w:rsidR="00000000" w:rsidRPr="00000000">
        <w:rPr>
          <w:rFonts w:ascii="Google Sans" w:cs="Google Sans" w:eastAsia="Google Sans" w:hAnsi="Google Sans"/>
          <w:color w:val="1f1f1f"/>
          <w:rtl w:val="0"/>
        </w:rPr>
        <w:t xml:space="preserve"> (ROI) por metro lineal o "cara de góndola", comparado directamente contra los costosos </w:t>
      </w:r>
      <w:r w:rsidDel="00000000" w:rsidR="00000000" w:rsidRPr="00000000">
        <w:rPr>
          <w:rFonts w:ascii="Google Sans" w:cs="Google Sans" w:eastAsia="Google Sans" w:hAnsi="Google Sans"/>
          <w:i w:val="1"/>
          <w:iCs w:val="1"/>
          <w:color w:val="1f1f1f"/>
          <w:rtl w:val="0"/>
        </w:rPr>
        <w:t xml:space="preserve">fees</w:t>
      </w:r>
      <w:r w:rsidDel="00000000" w:rsidR="00000000" w:rsidRPr="00000000">
        <w:rPr>
          <w:rFonts w:ascii="Google Sans" w:cs="Google Sans" w:eastAsia="Google Sans" w:hAnsi="Google Sans"/>
          <w:color w:val="1f1f1f"/>
          <w:rtl w:val="0"/>
        </w:rPr>
        <w:t xml:space="preserve"> o "peajes" de ingreso (listing), saturación marcaria y draconianas exigencias financieras que impone la oligopólica industria de las plataformas de hipermercados nacionales, logrando cimentar velozmente la identidad, el reconocimiento de nicho y una profunda penetración y prueba de mercado con una mínima fricción o canibalización competitiva de precios o promociones.</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9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Las 3 Amenazas Más Críticas del Macroentorno</w:t>
      </w:r>
    </w:p>
    <w:p w:rsidR="00000000" w:rsidDel="00000000" w:rsidP="00000000" w:rsidRDefault="00000000" w:rsidRPr="00000000" w14:paraId="00000097">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Colapso Estratégico y Conflicto Legal de Formulación Frente a las Nuevas y Estrictas Directrices de la Ley de Etiquetado Frontal (Intersección Legal y Social):</w:t>
      </w:r>
      <w:r w:rsidDel="00000000" w:rsidR="00000000" w:rsidRPr="00000000">
        <w:rPr>
          <w:rFonts w:ascii="Google Sans" w:cs="Google Sans" w:eastAsia="Google Sans" w:hAnsi="Google Sans"/>
          <w:color w:val="1f1f1f"/>
          <w:rtl w:val="0"/>
        </w:rPr>
        <w:t xml:space="preserve"> La amenaza más inmediata, apremiante y con altísimo poder destructivo para la proyección financiera y el frágil valor y posicionamiento </w:t>
      </w:r>
      <w:r w:rsidDel="00000000" w:rsidR="00000000" w:rsidRPr="00000000">
        <w:rPr>
          <w:rFonts w:ascii="Google Sans" w:cs="Google Sans" w:eastAsia="Google Sans" w:hAnsi="Google Sans"/>
          <w:i w:val="1"/>
          <w:iCs w:val="1"/>
          <w:color w:val="1f1f1f"/>
          <w:rtl w:val="0"/>
        </w:rPr>
        <w:t xml:space="preserve">premium</w:t>
      </w:r>
      <w:r w:rsidDel="00000000" w:rsidR="00000000" w:rsidRPr="00000000">
        <w:rPr>
          <w:rFonts w:ascii="Google Sans" w:cs="Google Sans" w:eastAsia="Google Sans" w:hAnsi="Google Sans"/>
          <w:color w:val="1f1f1f"/>
          <w:rtl w:val="0"/>
        </w:rPr>
        <w:t xml:space="preserve"> de la novel marca de alimentos es la reciente, taxativa y estricta re-interpretación normativa del Manual y guías de la ANMAT para la aplicación en vigor de la Ley 27.642 de Promoción de la Alimentación Saludable (instrumentada jurídicamente mediante la Disposición Reglamentaria 11362/2024 y accesorias conexas).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La excelente decisión técnica y estratégica de la gerencia técnica de la empresa de endulzar y dar cuerpo a sus masas e insumos de budines y galletas exclusivas con el uso masivo de materias primas integrales y no procesadas como "pastas de pasas de uva" y "puré de dátiles" concentrados —con el legítimo objeto de abandonar perentoriamente el uso industrial generalizado de perjudicial azúcar refinado blanco de caña y buscar un reconocimiento de la base de consumidores de que la marca es un actor enteramente natural y orgánico—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ahora, bajo los nuevos criterios bromatológicos dictados por la autoridad del Ministerio de Salud, califica técnica, legal y matemáticamente en el perfil de nutrientes (SPN) como la inclusión penalizable de "azúcares añadidos".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La gravedad y magnitud de esta contingencia legal estriba en que si estas formulaciones y proporciones calóricas de fructosa cruzan o exceden el límite basal del 10% del Valor Energético Total calórico del </w:t>
      </w:r>
      <w:r w:rsidDel="00000000" w:rsidR="00000000" w:rsidRPr="00000000">
        <w:rPr>
          <w:rFonts w:ascii="Google Sans" w:cs="Google Sans" w:eastAsia="Google Sans" w:hAnsi="Google Sans"/>
          <w:i w:val="1"/>
          <w:iCs w:val="1"/>
          <w:color w:val="1f1f1f"/>
          <w:rtl w:val="0"/>
        </w:rPr>
        <w:t xml:space="preserve">snack</w:t>
      </w:r>
      <w:r w:rsidDel="00000000" w:rsidR="00000000" w:rsidRPr="00000000">
        <w:rPr>
          <w:rFonts w:ascii="Google Sans" w:cs="Google Sans" w:eastAsia="Google Sans" w:hAnsi="Google Sans"/>
          <w:color w:val="1f1f1f"/>
          <w:rtl w:val="0"/>
        </w:rPr>
        <w:t xml:space="preserve"> final por porción, los envases primarios que salgan a la calle de fábrica deberán llevar expuestos de forma gigantesca y forzosa —ocupando los frentes visibles de todos los paquetes de góndola— los agresivos y disuasorios sellos o advertencias de perfil octogonal negro indicando "EXCESO EN AZÚCARES", lo cual operará invalidando psicosocial e instantáneamente todo el esmerado y sutil mensaje de diferenciación "sano y nutritivo" que fundamenta y justifica su precio </w:t>
      </w:r>
      <w:r w:rsidDel="00000000" w:rsidR="00000000" w:rsidRPr="00000000">
        <w:rPr>
          <w:rFonts w:ascii="Google Sans" w:cs="Google Sans" w:eastAsia="Google Sans" w:hAnsi="Google Sans"/>
          <w:i w:val="1"/>
          <w:iCs w:val="1"/>
          <w:color w:val="1f1f1f"/>
          <w:rtl w:val="0"/>
        </w:rPr>
        <w:t xml:space="preserve">Premium</w:t>
      </w:r>
      <w:r w:rsidDel="00000000" w:rsidR="00000000" w:rsidRPr="00000000">
        <w:rPr>
          <w:rFonts w:ascii="Google Sans" w:cs="Google Sans" w:eastAsia="Google Sans" w:hAnsi="Google Sans"/>
          <w:color w:val="1f1f1f"/>
          <w:rtl w:val="0"/>
        </w:rPr>
        <w:t xml:space="preserve"> ante el consumidor inexperto y altamente exigente de dietéticas.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Como agravante y vector colateral, la imposición técnica del sello activa automáticamente cláusulas paralizantes de la misma legislación nacional, limitando restrictiva, drástica y penalmente todas las posibilidades de la compañía para elaborar y orquestar sus estrategias agresivas de comercialización B2C, la inclusión vital de </w:t>
      </w:r>
      <w:r w:rsidDel="00000000" w:rsidR="00000000" w:rsidRPr="00000000">
        <w:rPr>
          <w:rFonts w:ascii="Google Sans" w:cs="Google Sans" w:eastAsia="Google Sans" w:hAnsi="Google Sans"/>
          <w:i w:val="1"/>
          <w:iCs w:val="1"/>
          <w:color w:val="1f1f1f"/>
          <w:rtl w:val="0"/>
        </w:rPr>
        <w:t xml:space="preserve">claims</w:t>
      </w:r>
      <w:r w:rsidDel="00000000" w:rsidR="00000000" w:rsidRPr="00000000">
        <w:rPr>
          <w:rFonts w:ascii="Google Sans" w:cs="Google Sans" w:eastAsia="Google Sans" w:hAnsi="Google Sans"/>
          <w:color w:val="1f1f1f"/>
          <w:rtl w:val="0"/>
        </w:rPr>
        <w:t xml:space="preserve"> publicitarios favorables (e.g. "Fuente de energía limpia"), imposibilitando el patrocinio marcario o el crucial y rentable ofrecimiento masivo en </w:t>
      </w:r>
      <w:r w:rsidDel="00000000" w:rsidR="00000000" w:rsidRPr="00000000">
        <w:rPr>
          <w:rFonts w:ascii="Google Sans" w:cs="Google Sans" w:eastAsia="Google Sans" w:hAnsi="Google Sans"/>
          <w:i w:val="1"/>
          <w:iCs w:val="1"/>
          <w:color w:val="1f1f1f"/>
          <w:rtl w:val="0"/>
        </w:rPr>
        <w:t xml:space="preserve">buffets</w:t>
      </w:r>
      <w:r w:rsidDel="00000000" w:rsidR="00000000" w:rsidRPr="00000000">
        <w:rPr>
          <w:rFonts w:ascii="Google Sans" w:cs="Google Sans" w:eastAsia="Google Sans" w:hAnsi="Google Sans"/>
          <w:color w:val="1f1f1f"/>
          <w:rtl w:val="0"/>
        </w:rPr>
        <w:t xml:space="preserve"> colegiales en todo el ámbito nacional.</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98">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Aguda Asimetría Inflacionaria Agropecuaria, Distorsión de Precios Relativos y Estrangulamiento Extremo del Capital de Trabajo (Dimensión Económica):</w:t>
      </w:r>
      <w:r w:rsidDel="00000000" w:rsidR="00000000" w:rsidRPr="00000000">
        <w:rPr>
          <w:rFonts w:ascii="Google Sans" w:cs="Google Sans" w:eastAsia="Google Sans" w:hAnsi="Google Sans"/>
          <w:color w:val="1f1f1f"/>
          <w:rtl w:val="0"/>
        </w:rPr>
        <w:t xml:space="preserve"> Existe un desajuste tectónico, histórico, especulativo y fuertemente persistente incrustado en el corazón y las cadenas de valor y cotizaciones de precios relativos en el agro argentino de mercado interno respecto a las materias primas primordiales, "alternativas" y exóticas frente a los insumos y comodities panaderos tradicionales e industrializados de trigo y soja.</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Con un mercado agrícola que, a fines de abril de 2026, dicta cotizaciones formales donde, por ejemplo, las insustituibles harinas de arroz súper finas molidas y, más críticamente, las especializadas y elásticas féculas o almidones de raíz de mandioca (base aglutinante esencial para reproducir la textura "con volumen" sin miga desgranable y friable de los preciados bizcochos, prepizzas, panes y </w:t>
      </w:r>
      <w:r w:rsidDel="00000000" w:rsidR="00000000" w:rsidRPr="00000000">
        <w:rPr>
          <w:rFonts w:ascii="Google Sans" w:cs="Google Sans" w:eastAsia="Google Sans" w:hAnsi="Google Sans"/>
          <w:i w:val="1"/>
          <w:iCs w:val="1"/>
          <w:color w:val="1f1f1f"/>
          <w:rtl w:val="0"/>
        </w:rPr>
        <w:t xml:space="preserve">snacks</w:t>
      </w:r>
      <w:r w:rsidDel="00000000" w:rsidR="00000000" w:rsidRPr="00000000">
        <w:rPr>
          <w:rFonts w:ascii="Google Sans" w:cs="Google Sans" w:eastAsia="Google Sans" w:hAnsi="Google Sans"/>
          <w:color w:val="1f1f1f"/>
          <w:rtl w:val="0"/>
        </w:rPr>
        <w:t xml:space="preserve"> de la cartera del proyecto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logran alcanzar o rebasar un diferencial especulativo costando sostenidamente entre cinco, seis o hasta asombrosas y prohibitivas ocho (8) veces más el volumen económico que el comodity base de referencia de la tonelada de harina refinada de trigo (000/0000) de panadero clásico.</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Para la envergadura y las ambiciones de escalar el volumen del proyecto, el cual indica en sus análisis que se propone manufacturar y volcar al canal físico un total ponderado que asciende a las trescientas ochenta y cuatro (384) toneladas en su ciclo de vida y ventas del año 1 de producción estabilizada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la inyección e inmovilización de los enormes volúmenes monetarios líquidos requeridos como "Capital de Trabajo de Maniobra" o </w:t>
      </w:r>
      <w:r w:rsidDel="00000000" w:rsidR="00000000" w:rsidRPr="00000000">
        <w:rPr>
          <w:rFonts w:ascii="Google Sans" w:cs="Google Sans" w:eastAsia="Google Sans" w:hAnsi="Google Sans"/>
          <w:i w:val="1"/>
          <w:iCs w:val="1"/>
          <w:color w:val="1f1f1f"/>
          <w:rtl w:val="0"/>
        </w:rPr>
        <w:t xml:space="preserve">Working Capital</w:t>
      </w:r>
      <w:r w:rsidDel="00000000" w:rsidR="00000000" w:rsidRPr="00000000">
        <w:rPr>
          <w:rFonts w:ascii="Google Sans" w:cs="Google Sans" w:eastAsia="Google Sans" w:hAnsi="Google Sans"/>
          <w:color w:val="1f1f1f"/>
          <w:rtl w:val="0"/>
        </w:rPr>
        <w:t xml:space="preserve"> puro (sólo para mantener estables, sanos y sin quiebres de </w:t>
      </w:r>
      <w:r w:rsidDel="00000000" w:rsidR="00000000" w:rsidRPr="00000000">
        <w:rPr>
          <w:rFonts w:ascii="Google Sans" w:cs="Google Sans" w:eastAsia="Google Sans" w:hAnsi="Google Sans"/>
          <w:i w:val="1"/>
          <w:iCs w:val="1"/>
          <w:color w:val="1f1f1f"/>
          <w:rtl w:val="0"/>
        </w:rPr>
        <w:t xml:space="preserve">stock</w:t>
      </w:r>
      <w:r w:rsidDel="00000000" w:rsidR="00000000" w:rsidRPr="00000000">
        <w:rPr>
          <w:rFonts w:ascii="Google Sans" w:cs="Google Sans" w:eastAsia="Google Sans" w:hAnsi="Google Sans"/>
          <w:color w:val="1f1f1f"/>
          <w:rtl w:val="0"/>
        </w:rPr>
        <w:t xml:space="preserve"> los almacenes y silos que alimentarán ininterrumpidamente las voraces líneas productivas operativas, previendo los largos tiempos y contingencias terrestres o climatológicas de los fletes para recepcionar este polvo granulado desde los acopios agrícolas lejanos a la planta situada centralmente en el cordón industrial norte del GBA, polo urbano e industrial de Garín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serán de dimensiones verdaderamente masivas, crónicas e implacables. El contexto inflacionario general nacional, en concierto con las huelgas o las severas, constantes e impredecibles disrupciones terrestres o logísticas de abastecimiento en provincias del interior o el litoral fluvial, pueden desatar crisis súbitas, cortando el abastecimiento físico, encareciendo y catapultando súbitamente el nivel en pesos corrientes que demandan a diario estos sacos de valiosos y críticos insumos.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Esta letal y estructural amenaza macro y microeconómica para los gerentes fabriles sin lugar a dudas amplificará trágicamente e intensificará en sus números el devastador costo operativo hundido detrás del simple "error humano fabril": frente a esta carísima matriz de materias base, cualquier pequeño índice estadístico normal de pérdida en planta, ya sea de mermas residuales físicas, desperdicios por </w:t>
      </w:r>
      <w:r w:rsidDel="00000000" w:rsidR="00000000" w:rsidRPr="00000000">
        <w:rPr>
          <w:rFonts w:ascii="Google Sans" w:cs="Google Sans" w:eastAsia="Google Sans" w:hAnsi="Google Sans"/>
          <w:i w:val="1"/>
          <w:iCs w:val="1"/>
          <w:color w:val="1f1f1f"/>
          <w:rtl w:val="0"/>
        </w:rPr>
        <w:t xml:space="preserve">set up</w:t>
      </w:r>
      <w:r w:rsidDel="00000000" w:rsidR="00000000" w:rsidRPr="00000000">
        <w:rPr>
          <w:rFonts w:ascii="Google Sans" w:cs="Google Sans" w:eastAsia="Google Sans" w:hAnsi="Google Sans"/>
          <w:color w:val="1f1f1f"/>
          <w:rtl w:val="0"/>
        </w:rPr>
        <w:t xml:space="preserve">, paradas rotativas de purga, rechazos cualitativos groseros por controles visuales en cinta del lote final horneado, fallas metalúrgicas detectadas (debido, por ejemplo, a una potencial contaminación involuntaria intra-máquina), o cualquier menor deficiencia operativa estandarizada (riesgos calificados de una probabilidad moderada/alta y endémicos a cualquier "curva de aprendizaje inicial" inexperta o de un costoso período inicial de ensayo de prueba-error calibrando mezclas y dosificadores en una nueva línea o fábrica sin bagaje preexistente de </w:t>
      </w:r>
      <w:r w:rsidDel="00000000" w:rsidR="00000000" w:rsidRPr="00000000">
        <w:rPr>
          <w:rFonts w:ascii="Google Sans" w:cs="Google Sans" w:eastAsia="Google Sans" w:hAnsi="Google Sans"/>
          <w:i w:val="1"/>
          <w:iCs w:val="1"/>
          <w:color w:val="1f1f1f"/>
          <w:rtl w:val="0"/>
        </w:rPr>
        <w:t xml:space="preserve">Know-How</w:t>
      </w:r>
      <w:r w:rsidDel="00000000" w:rsidR="00000000" w:rsidRPr="00000000">
        <w:rPr>
          <w:rFonts w:ascii="Google Sans" w:cs="Google Sans" w:eastAsia="Google Sans" w:hAnsi="Google Sans"/>
          <w:color w:val="1f1f1f"/>
          <w:rtl w:val="0"/>
        </w:rPr>
        <w:t xml:space="preserve"> profundo)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causará mecánicamente, a nivel de la sala de control de contabilidad directiva, un impacto o "agujero negro" financiero desproporcionadamente perjudicial, corrosivo, tóxico y nocivo (en pesos puros restados al Ebitda mensual), devorándose, comprimiendo o destruyendo aceleradamente toda la ya ajustada y estrecha rentabilidad y colchón de supervivencia operativa proyectados que sostienen la continuidad o prefactibilidad de supervivencia de la planta (fijada como un </w:t>
      </w:r>
      <w:r w:rsidDel="00000000" w:rsidR="00000000" w:rsidRPr="00000000">
        <w:rPr>
          <w:rFonts w:ascii="Google Sans" w:cs="Google Sans" w:eastAsia="Google Sans" w:hAnsi="Google Sans"/>
          <w:i w:val="1"/>
          <w:iCs w:val="1"/>
          <w:color w:val="1f1f1f"/>
          <w:rtl w:val="0"/>
        </w:rPr>
        <w:t xml:space="preserve">Breakeven</w:t>
      </w:r>
      <w:r w:rsidDel="00000000" w:rsidR="00000000" w:rsidRPr="00000000">
        <w:rPr>
          <w:rFonts w:ascii="Google Sans" w:cs="Google Sans" w:eastAsia="Google Sans" w:hAnsi="Google Sans"/>
          <w:color w:val="1f1f1f"/>
          <w:rtl w:val="0"/>
        </w:rPr>
        <w:t xml:space="preserve"> exigente de lograr) durante el frágil, álgido e irremplazable primer año calendario (Año 1) o Fase de Explotación General del horizonte total del ciclo del plan de la iniciativa empresarial.</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9">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Implementación Legal de un Marco Estricto de Regulación, Penalización Operativa y Endurecimiento Burocrático y Punitivo Inminente de Normas sobre Eliminación, Trazabilidad, Reutilización, Clasificación Toxicológica y Disposición Ambiental Provincial sobre Pasivos de Residuos Físicos e Industriales de Planta y Fábrica Alimenticia Bonaerense (Intersección Ecológica y Legal-Fiscal):</w:t>
      </w:r>
      <w:r w:rsidDel="00000000" w:rsidR="00000000" w:rsidRPr="00000000">
        <w:rPr>
          <w:rFonts w:ascii="Google Sans" w:cs="Google Sans" w:eastAsia="Google Sans" w:hAnsi="Google Sans"/>
          <w:color w:val="1f1f1f"/>
          <w:rtl w:val="0"/>
        </w:rPr>
        <w:t xml:space="preserve"> La conveniente, privilegiada y elegida microlocalización satelital estratégica industrial del nodo productivo logístico principal (establecida y documentada en la matriz geográfica de cinco factores detallada dentro de los parámetros de radicación y prefactibilidad operativa física del proyecto final), que asienta y asume finalmente el galpón o núcleo de las maquinarias, amasadoras, y la línea túnel de ensamble industrial de la planta matriz integral en los lotes dentro del reconocido cordón tecnológico y productivo del vasto Parque Industrial del municipio de Garín (geopolíticamente emplazado sobre el Partido de Escobar, dentro de la esfera urbana, fiscal y la conurbación metropolitana jurisdiccional directa del Área del Gran Buenos Aires Norte — AMBA)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la coloca inexorablemente, y sin posible alternativa de escape legislativo, y la somete legal e instantáneamente como sujeto activo, vigilado, inspeccionado y penalizado, de manera íntegra, cruda y de lleno, a acatar y soportar todo el peso punitivo fiscal de la abrupta, inminente y ultra-estricta "Resolución Provincial Ambiental Normativa Nº 60 / del año 2026". Esta moderna y exigente regulación fue creada, firmada, promulgada oficialmente y rige de carácter mandatario desde su entrada temporal en vigencia ejecutiva durante el inicio o finalización de etapas fabriles.</w:t>
      </w:r>
      <w:r w:rsidDel="00000000" w:rsidR="00000000" w:rsidRPr="00000000">
        <w:rPr>
          <w:rFonts w:ascii="Google Sans" w:cs="Google Sans" w:eastAsia="Google Sans" w:hAnsi="Google Sans"/>
          <w:color w:val="444746"/>
          <w:sz w:val="24"/>
          <w:szCs w:val="24"/>
          <w:vertAlign w:val="superscript"/>
          <w:rtl w:val="0"/>
        </w:rPr>
        <w:t xml:space="preserve">60</w:t>
      </w:r>
      <w:r w:rsidDel="00000000" w:rsidR="00000000" w:rsidRPr="00000000">
        <w:rPr>
          <w:rFonts w:ascii="Google Sans" w:cs="Google Sans" w:eastAsia="Google Sans" w:hAnsi="Google Sans"/>
          <w:color w:val="1f1f1f"/>
          <w:rtl w:val="0"/>
        </w:rPr>
        <w:t xml:space="preserve"> La reciente normativa es el nuevo código provincial dictado e instrumentado mediante agencias y fiscalías del moderno "Ministerio de Ambiente y dependencias del Organismo Provincial para el Desarrollo Sostenible OPDS" de toda la Provincia de Buenos Aires, y está exclusivamente concebido y dedicado imperativamente a regimentar y regular con carácter férreo toda la extensa manipulación, certificación volumétrica y completa gestión integral final obligatoria de todos los denominados "Residuos Industriales catalogados como No Especiales" o sólidos semi-orgánicos asimilables (conocidos bajo el marco fiscal mediante el acrónimo legal unificado de RINE) generados a puerta cerrada en las naves industriales alimenticias, y prohíbe severamente seguir arrojando a granel desperdicios y descartes asimilándolos como antigua y libre "basura urbana" local domiciliaria RSU en la municipalidad.</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 La subestimación corporativa, incapacidad burocrática informática local temporal de la jefatura o personal, la deficiente o tardía y lenta falta de adaptación a nivel de gerencia general o de las oficinas de gestión medioambiental para cumplir estricta y documentalmente y adaptarse y asimilar rápidamente su estructura directiva a la novedosa, nueva y compleja red informática de burocracia ambiental digital o el moderno registro exigido, al igual que los riesgos o costosos inevitables grandes cuellos de botella geográficos para tercerizar, buscar, hallar, auditar internamente y asegurar o subcontratar empresas fleteras y operadores matriculados legalmente y estrictamente homologados de transporte ambiental para derivar flujos orgánicos o residuos líquidos grasos y recortes de masa para efectuar su correcto destino sustentable o tratamiento termodinámico y químico biológico u orgánico externo de compost o disposición </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 y que efectivamente brinden y emitan los correspondientes, costosos y cruciales certificados formales finales e inapelables de Disposición Ecológica Sustentable o tratamiento y deposición final ambientalmente idóneo, limpios de multas, estipulados y demandados de forma fehaciente por los tribunales de inspectores y organismos fiscales locales requeridos de forma mensual sin prórroga </w:t>
      </w:r>
      <w:r w:rsidDel="00000000" w:rsidR="00000000" w:rsidRPr="00000000">
        <w:rPr>
          <w:rFonts w:ascii="Google Sans" w:cs="Google Sans" w:eastAsia="Google Sans" w:hAnsi="Google Sans"/>
          <w:color w:val="444746"/>
          <w:sz w:val="24"/>
          <w:szCs w:val="24"/>
          <w:vertAlign w:val="superscript"/>
          <w:rtl w:val="0"/>
        </w:rPr>
        <w:t xml:space="preserve">63</w:t>
      </w:r>
      <w:r w:rsidDel="00000000" w:rsidR="00000000" w:rsidRPr="00000000">
        <w:rPr>
          <w:rFonts w:ascii="Google Sans" w:cs="Google Sans" w:eastAsia="Google Sans" w:hAnsi="Google Sans"/>
          <w:color w:val="1f1f1f"/>
          <w:rtl w:val="0"/>
        </w:rPr>
        <w:t xml:space="preserve">, conformará por sí mismo —o a través del enorme riesgo de ser clasificados punitivamente los inmensos subproductos industriales, lodos, natas del reactor de tratamientos de la PTE o efluentes hídricos crudos jabonosos y con fuerte carga orgánica derivada del intensivo e indispensable y riguroso lavado de alta presión de las maquinas batidoras e industriales de masa y equipos CIP del proyecto integral, asimilando dicho caudal o efluente temporalmente en una zona o vacío burocrático de indefinición y clasificado severamente por la Subsecretaría como efluentes sospechosos categorizados de alerta química como "Residuos o matriz Espejo" y por ende de manejo provisoriamente tóxico, especial o peligrosos bajo los paraguas de las anticuadas Leyes Ambientales preexistentes N° 11.720, que penaliza el vertido hídrico dudoso </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 constituyendo todo este pesado escenario sin lugar a dudas el más inmenso, acuciante y real "Peligro y Riesgo Normativo Inminente de Clausura Ejecutiva Penal" a los accionistas, de trabas y bloqueos del plan fiscal de ventas inicial y operativas.</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 El cumplimiento integral obligatorio normativo ineludible por parte de la planta, y satisfacer mes a mes las presiones legislativas impuestas del marco RINE ambiental </w:t>
      </w:r>
      <w:r w:rsidDel="00000000" w:rsidR="00000000" w:rsidRPr="00000000">
        <w:rPr>
          <w:rFonts w:ascii="Google Sans" w:cs="Google Sans" w:eastAsia="Google Sans" w:hAnsi="Google Sans"/>
          <w:color w:val="444746"/>
          <w:sz w:val="24"/>
          <w:szCs w:val="24"/>
          <w:vertAlign w:val="superscript"/>
          <w:rtl w:val="0"/>
        </w:rPr>
        <w:t xml:space="preserve">61</w:t>
      </w:r>
      <w:r w:rsidDel="00000000" w:rsidR="00000000" w:rsidRPr="00000000">
        <w:rPr>
          <w:rFonts w:ascii="Google Sans" w:cs="Google Sans" w:eastAsia="Google Sans" w:hAnsi="Google Sans"/>
          <w:color w:val="1f1f1f"/>
          <w:rtl w:val="0"/>
        </w:rPr>
        <w:t xml:space="preserve">, sumado en conjunto y acoplándose estrechamente al mandato inexcusable y los altísimos requisitos exigidos internacionalmente por el mercado sobre la minimización proactiva volumétrica de trazabilidad fabril medible y auditoría permanente de todo el caudal global integral mensual real de los inmensos desechos masivos emitidos de materias basales del esquema o la Norma de certificar inocuidad en toda su compleja maquinaria de control elegida en el </w:t>
      </w:r>
      <w:r w:rsidDel="00000000" w:rsidR="00000000" w:rsidRPr="00000000">
        <w:rPr>
          <w:rFonts w:ascii="Google Sans" w:cs="Google Sans" w:eastAsia="Google Sans" w:hAnsi="Google Sans"/>
          <w:i w:val="1"/>
          <w:iCs w:val="1"/>
          <w:color w:val="1f1f1f"/>
          <w:rtl w:val="0"/>
        </w:rPr>
        <w:t xml:space="preserve">Board</w:t>
      </w:r>
      <w:r w:rsidDel="00000000" w:rsidR="00000000" w:rsidRPr="00000000">
        <w:rPr>
          <w:rFonts w:ascii="Google Sans" w:cs="Google Sans" w:eastAsia="Google Sans" w:hAnsi="Google Sans"/>
          <w:color w:val="1f1f1f"/>
          <w:rtl w:val="0"/>
        </w:rPr>
        <w:t xml:space="preserve"> y de obligatorio mandato exportador que la empresa desea alcanzar al fin (certificadoras Internacionales de auditores FSSC calidad e inocuidad alimenticia Versión vigente 6 aprobada y de rigor obligatorio legal implementado 2024 en industrias, y sus cláusulas mandatorias conexas de políticas verdes antidesperdicios operativas o Cultura integral corporativa y minimización "Food Loss/Waste" obligatoria dictaminada) </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requerirá y forzará en corto plazo, al armado empresarial en la hoja general de cálculos, un fuerte, ineludible y desmedido replanteo en la inyección inyectada como gran desembolso de dólares en más y mejor ingeniería profunda adicional técnica de infraestructura para una planta compleja purificadora e incrementando la demanda de miles de caras e interminables o laboriosas e improductivas y agobiantes y repetitivas y muy lentas "Horas Hombre", tareas operativas internas administrativas permanentes de analistas y gestores de planta, o pesados consultores ecológicos en honorarios y recursos directivos humanos subcontratados con anterioridad o sencillamente que ni los docentes o creadores originalmente al inicio habían evaluado o previsto ni contempladas internamente en todo el documento o estructura basal de egresos previstos de "Prefactibilidad General Técnica", mermando indirecta o marginalmente los grandes márgenes puros iniciales financieros en costos del Año del arranque.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A">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Obras citadas</w:t>
      </w:r>
    </w:p>
    <w:p w:rsidR="00000000" w:rsidDel="00000000" w:rsidP="00000000" w:rsidRDefault="00000000" w:rsidRPr="00000000" w14:paraId="0000009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PROYECTO FINAL - G8.docx</w:t>
      </w:r>
    </w:p>
    <w:p w:rsidR="00000000" w:rsidDel="00000000" w:rsidP="00000000" w:rsidRDefault="00000000" w:rsidRPr="00000000" w14:paraId="0000009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CAPITULO IX ALIMENTOS FARINACEOS - CEREALES, HARINAS Y DERIVADOS Artículo 643 Entiéndese por Cereales, las semillas o granos c, fecha de acceso: abril 26, 2026, </w:t>
      </w:r>
      <w:hyperlink r:id="rId6">
        <w:r w:rsidDel="00000000" w:rsidR="00000000" w:rsidRPr="00000000">
          <w:rPr>
            <w:rFonts w:ascii="Google Sans" w:cs="Google Sans" w:eastAsia="Google Sans" w:hAnsi="Google Sans"/>
            <w:color w:val="0000ee"/>
            <w:sz w:val="24"/>
            <w:szCs w:val="24"/>
            <w:u w:val="single"/>
            <w:rtl w:val="0"/>
          </w:rPr>
          <w:t xml:space="preserve">https://alimentosargentinos.magyp.gob.ar/contenido/marco/CAA/capitulospdf/Capitulo_IX.pdf</w:t>
        </w:r>
      </w:hyperlink>
      <w:r w:rsidDel="00000000" w:rsidR="00000000" w:rsidRPr="00000000">
        <w:rPr>
          <w:rtl w:val="0"/>
        </w:rPr>
      </w:r>
    </w:p>
    <w:p w:rsidR="00000000" w:rsidDel="00000000" w:rsidP="00000000" w:rsidRDefault="00000000" w:rsidRPr="00000000" w14:paraId="0000009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Establecimientos Elaboradores de Alimentos Libres de Gluten - Anmat, fecha de acceso: abril 26, 2026, </w:t>
      </w:r>
      <w:hyperlink r:id="rId7">
        <w:r w:rsidDel="00000000" w:rsidR="00000000" w:rsidRPr="00000000">
          <w:rPr>
            <w:rFonts w:ascii="Google Sans" w:cs="Google Sans" w:eastAsia="Google Sans" w:hAnsi="Google Sans"/>
            <w:color w:val="0000ee"/>
            <w:sz w:val="24"/>
            <w:szCs w:val="24"/>
            <w:u w:val="single"/>
            <w:rtl w:val="0"/>
          </w:rPr>
          <w:t xml:space="preserve">http://www.anmat.gob.ar/Alimentos/Guia_BPM_ALG_formato_Web.pdf</w:t>
        </w:r>
      </w:hyperlink>
      <w:r w:rsidDel="00000000" w:rsidR="00000000" w:rsidRPr="00000000">
        <w:rPr>
          <w:rtl w:val="0"/>
        </w:rPr>
      </w:r>
    </w:p>
    <w:p w:rsidR="00000000" w:rsidDel="00000000" w:rsidP="00000000" w:rsidRDefault="00000000" w:rsidRPr="00000000" w14:paraId="0000009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Principal - Anmat, fecha de acceso: abril 26, 2026, </w:t>
      </w:r>
      <w:hyperlink r:id="rId8">
        <w:r w:rsidDel="00000000" w:rsidR="00000000" w:rsidRPr="00000000">
          <w:rPr>
            <w:rFonts w:ascii="Google Sans" w:cs="Google Sans" w:eastAsia="Google Sans" w:hAnsi="Google Sans"/>
            <w:color w:val="0000ee"/>
            <w:sz w:val="24"/>
            <w:szCs w:val="24"/>
            <w:u w:val="single"/>
            <w:rtl w:val="0"/>
          </w:rPr>
          <w:t xml:space="preserve">https://www.anmat.gob.ar/webanmat/formularios/guia_alimentos.asp</w:t>
        </w:r>
      </w:hyperlink>
      <w:r w:rsidDel="00000000" w:rsidR="00000000" w:rsidRPr="00000000">
        <w:rPr>
          <w:rtl w:val="0"/>
        </w:rPr>
      </w:r>
    </w:p>
    <w:p w:rsidR="00000000" w:rsidDel="00000000" w:rsidP="00000000" w:rsidRDefault="00000000" w:rsidRPr="00000000" w14:paraId="0000009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Obras sociales y prepagas obligadas a brindar a cada celiaco una cobertura de $ 240 por mes. - Formosa, fecha de acceso: abril 26, 2026, </w:t>
      </w:r>
      <w:hyperlink r:id="rId9">
        <w:r w:rsidDel="00000000" w:rsidR="00000000" w:rsidRPr="00000000">
          <w:rPr>
            <w:rFonts w:ascii="Google Sans" w:cs="Google Sans" w:eastAsia="Google Sans" w:hAnsi="Google Sans"/>
            <w:color w:val="0000ee"/>
            <w:sz w:val="24"/>
            <w:szCs w:val="24"/>
            <w:u w:val="single"/>
            <w:rtl w:val="0"/>
          </w:rPr>
          <w:t xml:space="preserve">https://formosa.gob.ar/noticia/15095/42/obras_sociales_y_prepagas_obligadas_a_brindar_a_cada_celiaco_una_cobertura_de__240_por_mes</w:t>
        </w:r>
      </w:hyperlink>
      <w:r w:rsidDel="00000000" w:rsidR="00000000" w:rsidRPr="00000000">
        <w:rPr>
          <w:rtl w:val="0"/>
        </w:rPr>
      </w:r>
    </w:p>
    <w:p w:rsidR="00000000" w:rsidDel="00000000" w:rsidP="00000000" w:rsidRDefault="00000000" w:rsidRPr="00000000" w14:paraId="000000A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Produciendo productos sin gluten en un espacio no-dedicado, fecha de acceso: abril 26, 2026, </w:t>
      </w:r>
      <w:hyperlink r:id="rId10">
        <w:r w:rsidDel="00000000" w:rsidR="00000000" w:rsidRPr="00000000">
          <w:rPr>
            <w:rFonts w:ascii="Google Sans" w:cs="Google Sans" w:eastAsia="Google Sans" w:hAnsi="Google Sans"/>
            <w:color w:val="0000ee"/>
            <w:sz w:val="24"/>
            <w:szCs w:val="24"/>
            <w:u w:val="single"/>
            <w:rtl w:val="0"/>
          </w:rPr>
          <w:t xml:space="preserve">https://gluten.org/wp-content/uploads/2020/04/EDU_Non-Dedicated-Kitchen-Spanish.pdf</w:t>
        </w:r>
      </w:hyperlink>
      <w:r w:rsidDel="00000000" w:rsidR="00000000" w:rsidRPr="00000000">
        <w:rPr>
          <w:rtl w:val="0"/>
        </w:rPr>
      </w:r>
    </w:p>
    <w:p w:rsidR="00000000" w:rsidDel="00000000" w:rsidP="00000000" w:rsidRDefault="00000000" w:rsidRPr="00000000" w14:paraId="000000A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Alimentos libres de gluten: importancia del uso responsable del símbolo “Sin TACC” y el cumplimiento con la normativa vigente - Municipalidad Gualeguaychú Entre Ríos Argentina, fecha de acceso: abril 26, 2026, </w:t>
      </w:r>
      <w:hyperlink r:id="rId11">
        <w:r w:rsidDel="00000000" w:rsidR="00000000" w:rsidRPr="00000000">
          <w:rPr>
            <w:rFonts w:ascii="Google Sans" w:cs="Google Sans" w:eastAsia="Google Sans" w:hAnsi="Google Sans"/>
            <w:color w:val="0000ee"/>
            <w:sz w:val="24"/>
            <w:szCs w:val="24"/>
            <w:u w:val="single"/>
            <w:rtl w:val="0"/>
          </w:rPr>
          <w:t xml:space="preserve">https://gualeguaychu.gov.ar/redaccion/alimentos-libres-de-gluten:-importancia-del-uso-responsable-del-simbolo-%E2%80%9Csin-tacc%E2%80%9D--y-el-cumplimiento-con-la-normativa-vigente</w:t>
        </w:r>
      </w:hyperlink>
      <w:r w:rsidDel="00000000" w:rsidR="00000000" w:rsidRPr="00000000">
        <w:rPr>
          <w:rtl w:val="0"/>
        </w:rPr>
      </w:r>
    </w:p>
    <w:p w:rsidR="00000000" w:rsidDel="00000000" w:rsidP="00000000" w:rsidRDefault="00000000" w:rsidRPr="00000000" w14:paraId="000000A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Alimentos libres de gluten - Argentina.gob.ar, fecha de acceso: abril 26, 2026, </w:t>
      </w:r>
      <w:hyperlink r:id="rId12">
        <w:r w:rsidDel="00000000" w:rsidR="00000000" w:rsidRPr="00000000">
          <w:rPr>
            <w:rFonts w:ascii="Google Sans" w:cs="Google Sans" w:eastAsia="Google Sans" w:hAnsi="Google Sans"/>
            <w:color w:val="0000ee"/>
            <w:sz w:val="24"/>
            <w:szCs w:val="24"/>
            <w:u w:val="single"/>
            <w:rtl w:val="0"/>
          </w:rPr>
          <w:t xml:space="preserve">https://www.argentina.gob.ar/anmat/alg</w:t>
        </w:r>
      </w:hyperlink>
      <w:r w:rsidDel="00000000" w:rsidR="00000000" w:rsidRPr="00000000">
        <w:rPr>
          <w:rtl w:val="0"/>
        </w:rPr>
      </w:r>
    </w:p>
    <w:p w:rsidR="00000000" w:rsidDel="00000000" w:rsidP="00000000" w:rsidRDefault="00000000" w:rsidRPr="00000000" w14:paraId="000000A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Obras sociales y prepagas deberán subsidiar a los pacientes celiacos. - Formosa, fecha de acceso: abril 26, 2026, </w:t>
      </w:r>
      <w:hyperlink r:id="rId13">
        <w:r w:rsidDel="00000000" w:rsidR="00000000" w:rsidRPr="00000000">
          <w:rPr>
            <w:rFonts w:ascii="Google Sans" w:cs="Google Sans" w:eastAsia="Google Sans" w:hAnsi="Google Sans"/>
            <w:color w:val="0000ee"/>
            <w:sz w:val="24"/>
            <w:szCs w:val="24"/>
            <w:u w:val="single"/>
            <w:rtl w:val="0"/>
          </w:rPr>
          <w:t xml:space="preserve">https://formosa.gob.ar/noticia/13621/211/obras_sociales_y_prepagas_deberan_subsidiar_a_los_pacientes_celiacos</w:t>
        </w:r>
      </w:hyperlink>
      <w:r w:rsidDel="00000000" w:rsidR="00000000" w:rsidRPr="00000000">
        <w:rPr>
          <w:rtl w:val="0"/>
        </w:rPr>
      </w:r>
    </w:p>
    <w:p w:rsidR="00000000" w:rsidDel="00000000" w:rsidP="00000000" w:rsidRDefault="00000000" w:rsidRPr="00000000" w14:paraId="000000A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InfoLEG - Ministerio de Economía y Finanzas Públicas - Argentina - Jus.gob.ar, fecha de acceso: abril 26, 2026, </w:t>
      </w:r>
      <w:hyperlink r:id="rId14">
        <w:r w:rsidDel="00000000" w:rsidR="00000000" w:rsidRPr="00000000">
          <w:rPr>
            <w:rFonts w:ascii="Google Sans" w:cs="Google Sans" w:eastAsia="Google Sans" w:hAnsi="Google Sans"/>
            <w:color w:val="0000ee"/>
            <w:sz w:val="24"/>
            <w:szCs w:val="24"/>
            <w:u w:val="single"/>
            <w:rtl w:val="0"/>
          </w:rPr>
          <w:t xml:space="preserve">https://servicios.infoleg.gob.ar/infolegInternet/anexos/205000-209999/206483/norma.htm</w:t>
        </w:r>
      </w:hyperlink>
      <w:r w:rsidDel="00000000" w:rsidR="00000000" w:rsidRPr="00000000">
        <w:rPr>
          <w:rtl w:val="0"/>
        </w:rPr>
      </w:r>
    </w:p>
    <w:p w:rsidR="00000000" w:rsidDel="00000000" w:rsidP="00000000" w:rsidRDefault="00000000" w:rsidRPr="00000000" w14:paraId="000000A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Celiaquía - Argentina.gob.ar, fecha de acceso: abril 26, 2026, </w:t>
      </w:r>
      <w:hyperlink r:id="rId15">
        <w:r w:rsidDel="00000000" w:rsidR="00000000" w:rsidRPr="00000000">
          <w:rPr>
            <w:rFonts w:ascii="Google Sans" w:cs="Google Sans" w:eastAsia="Google Sans" w:hAnsi="Google Sans"/>
            <w:color w:val="0000ee"/>
            <w:sz w:val="24"/>
            <w:szCs w:val="24"/>
            <w:u w:val="single"/>
            <w:rtl w:val="0"/>
          </w:rPr>
          <w:t xml:space="preserve">https://www.argentina.gob.ar/sssalud/usuarios/celiaquia</w:t>
        </w:r>
      </w:hyperlink>
      <w:r w:rsidDel="00000000" w:rsidR="00000000" w:rsidRPr="00000000">
        <w:rPr>
          <w:rtl w:val="0"/>
        </w:rPr>
      </w:r>
    </w:p>
    <w:p w:rsidR="00000000" w:rsidDel="00000000" w:rsidP="00000000" w:rsidRDefault="00000000" w:rsidRPr="00000000" w14:paraId="000000A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Nueva Actualización del monto a cubrir por obras sociales y prepagas - Argentina.gob.ar, fecha de acceso: abril 26, 2026, </w:t>
      </w:r>
      <w:hyperlink r:id="rId16">
        <w:r w:rsidDel="00000000" w:rsidR="00000000" w:rsidRPr="00000000">
          <w:rPr>
            <w:rFonts w:ascii="Google Sans" w:cs="Google Sans" w:eastAsia="Google Sans" w:hAnsi="Google Sans"/>
            <w:color w:val="0000ee"/>
            <w:sz w:val="24"/>
            <w:szCs w:val="24"/>
            <w:u w:val="single"/>
            <w:rtl w:val="0"/>
          </w:rPr>
          <w:t xml:space="preserve">https://www.argentina.gob.ar/salud/nueva-actualizacion-del-monto-cubrir-por-obras-sociales-y-prepagas</w:t>
        </w:r>
      </w:hyperlink>
      <w:r w:rsidDel="00000000" w:rsidR="00000000" w:rsidRPr="00000000">
        <w:rPr>
          <w:rtl w:val="0"/>
        </w:rPr>
      </w:r>
    </w:p>
    <w:p w:rsidR="00000000" w:rsidDel="00000000" w:rsidP="00000000" w:rsidRDefault="00000000" w:rsidRPr="00000000" w14:paraId="000000A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Una buena noticia: obras sociales y empresas de medicina prepaga deberán aumentar el monto de cobertura por alimentos para consumidores celíacos y actualizarlo periódicamente - ACYMA, fecha de acceso: abril 26, 2026, </w:t>
      </w:r>
      <w:hyperlink r:id="rId17">
        <w:r w:rsidDel="00000000" w:rsidR="00000000" w:rsidRPr="00000000">
          <w:rPr>
            <w:rFonts w:ascii="Google Sans" w:cs="Google Sans" w:eastAsia="Google Sans" w:hAnsi="Google Sans"/>
            <w:color w:val="0000ee"/>
            <w:sz w:val="24"/>
            <w:szCs w:val="24"/>
            <w:u w:val="single"/>
            <w:rtl w:val="0"/>
          </w:rPr>
          <w:t xml:space="preserve">https://acyma.org.ar/una-buena-noticia-obras-sociales-y-empresas-de-medicina-prepaga-deberan-aumentar-el-monto-de-cobertura-por-alimentos-para-consumidores-celiacos-y-actualizarlo-periodicamente/</w:t>
        </w:r>
      </w:hyperlink>
      <w:r w:rsidDel="00000000" w:rsidR="00000000" w:rsidRPr="00000000">
        <w:rPr>
          <w:rtl w:val="0"/>
        </w:rPr>
      </w:r>
    </w:p>
    <w:p w:rsidR="00000000" w:rsidDel="00000000" w:rsidP="00000000" w:rsidRDefault="00000000" w:rsidRPr="00000000" w14:paraId="000000A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Ley de Etiquetado Frontal – ALIMENTACION SALUDABLE - Ministerio de Salud de la Provincia de Buenos Aires, fecha de acceso: abril 26, 2026, </w:t>
      </w:r>
      <w:hyperlink r:id="rId18">
        <w:r w:rsidDel="00000000" w:rsidR="00000000" w:rsidRPr="00000000">
          <w:rPr>
            <w:rFonts w:ascii="Google Sans" w:cs="Google Sans" w:eastAsia="Google Sans" w:hAnsi="Google Sans"/>
            <w:color w:val="0000ee"/>
            <w:sz w:val="24"/>
            <w:szCs w:val="24"/>
            <w:u w:val="single"/>
            <w:rtl w:val="0"/>
          </w:rPr>
          <w:t xml:space="preserve">https://www.ms.gba.gov.ar/sitios/alimentacionsaludable/ley-de-etiquetado-frontal/</w:t>
        </w:r>
      </w:hyperlink>
      <w:r w:rsidDel="00000000" w:rsidR="00000000" w:rsidRPr="00000000">
        <w:rPr>
          <w:rtl w:val="0"/>
        </w:rPr>
      </w:r>
    </w:p>
    <w:p w:rsidR="00000000" w:rsidDel="00000000" w:rsidP="00000000" w:rsidRDefault="00000000" w:rsidRPr="00000000" w14:paraId="000000A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Ley de etiquetado frontal - Argentina.gob.ar, fecha de acceso: abril 26, 2026, </w:t>
      </w:r>
      <w:hyperlink r:id="rId19">
        <w:r w:rsidDel="00000000" w:rsidR="00000000" w:rsidRPr="00000000">
          <w:rPr>
            <w:rFonts w:ascii="Google Sans" w:cs="Google Sans" w:eastAsia="Google Sans" w:hAnsi="Google Sans"/>
            <w:color w:val="0000ee"/>
            <w:sz w:val="24"/>
            <w:szCs w:val="24"/>
            <w:u w:val="single"/>
            <w:rtl w:val="0"/>
          </w:rPr>
          <w:t xml:space="preserve">https://www.argentina.gob.ar/justicia/derechofacil/leysimple/salud/ley-de-etiquetado-frontal</w:t>
        </w:r>
      </w:hyperlink>
      <w:r w:rsidDel="00000000" w:rsidR="00000000" w:rsidRPr="00000000">
        <w:rPr>
          <w:rtl w:val="0"/>
        </w:rPr>
      </w:r>
    </w:p>
    <w:p w:rsidR="00000000" w:rsidDel="00000000" w:rsidP="00000000" w:rsidRDefault="00000000" w:rsidRPr="00000000" w14:paraId="000000A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ROTULADO NUTRICIONAL FRONTAL - LEGISALUD ARGENTINA, fecha de acceso: abril 26, 2026, </w:t>
      </w:r>
      <w:hyperlink r:id="rId20">
        <w:r w:rsidDel="00000000" w:rsidR="00000000" w:rsidRPr="00000000">
          <w:rPr>
            <w:rFonts w:ascii="Google Sans" w:cs="Google Sans" w:eastAsia="Google Sans" w:hAnsi="Google Sans"/>
            <w:color w:val="0000ee"/>
            <w:sz w:val="24"/>
            <w:szCs w:val="24"/>
            <w:u w:val="single"/>
            <w:rtl w:val="0"/>
          </w:rPr>
          <w:t xml:space="preserve">http://www.legisalud.gov.ar/pdf/anmatdis11362_2024anexo.pdf</w:t>
        </w:r>
      </w:hyperlink>
      <w:r w:rsidDel="00000000" w:rsidR="00000000" w:rsidRPr="00000000">
        <w:rPr>
          <w:rtl w:val="0"/>
        </w:rPr>
      </w:r>
    </w:p>
    <w:p w:rsidR="00000000" w:rsidDel="00000000" w:rsidP="00000000" w:rsidRDefault="00000000" w:rsidRPr="00000000" w14:paraId="000000A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Ley PAS - Análisis sobre las nuevas disposiciones de la ANMAT - Fagran, fecha de acceso: abril 26, 2026, </w:t>
      </w:r>
      <w:hyperlink r:id="rId21">
        <w:r w:rsidDel="00000000" w:rsidR="00000000" w:rsidRPr="00000000">
          <w:rPr>
            <w:rFonts w:ascii="Google Sans" w:cs="Google Sans" w:eastAsia="Google Sans" w:hAnsi="Google Sans"/>
            <w:color w:val="0000ee"/>
            <w:sz w:val="24"/>
            <w:szCs w:val="24"/>
            <w:u w:val="single"/>
            <w:rtl w:val="0"/>
          </w:rPr>
          <w:t xml:space="preserve">https://www.fagran.org.ar/wp-content/uploads/2025/04/Ley-PAS-Analisis-sobre-las-nuevas-disposiciones-de-la-ANMAT.pdf</w:t>
        </w:r>
      </w:hyperlink>
      <w:r w:rsidDel="00000000" w:rsidR="00000000" w:rsidRPr="00000000">
        <w:rPr>
          <w:rtl w:val="0"/>
        </w:rPr>
      </w:r>
    </w:p>
    <w:p w:rsidR="00000000" w:rsidDel="00000000" w:rsidP="00000000" w:rsidRDefault="00000000" w:rsidRPr="00000000" w14:paraId="000000A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Ley 27.642 - InfoLEG - Ministerio de Justicia y Derechos Humanos - Argentina, fecha de acceso: abril 26, 2026, </w:t>
      </w:r>
      <w:hyperlink r:id="rId22">
        <w:r w:rsidDel="00000000" w:rsidR="00000000" w:rsidRPr="00000000">
          <w:rPr>
            <w:rFonts w:ascii="Google Sans" w:cs="Google Sans" w:eastAsia="Google Sans" w:hAnsi="Google Sans"/>
            <w:color w:val="0000ee"/>
            <w:sz w:val="24"/>
            <w:szCs w:val="24"/>
            <w:u w:val="single"/>
            <w:rtl w:val="0"/>
          </w:rPr>
          <w:t xml:space="preserve">https://servicios.infoleg.gob.ar/infolegInternet/anexos/360000-364999/362577/norma.htm</w:t>
        </w:r>
      </w:hyperlink>
      <w:r w:rsidDel="00000000" w:rsidR="00000000" w:rsidRPr="00000000">
        <w:rPr>
          <w:rtl w:val="0"/>
        </w:rPr>
      </w:r>
    </w:p>
    <w:p w:rsidR="00000000" w:rsidDel="00000000" w:rsidP="00000000" w:rsidRDefault="00000000" w:rsidRPr="00000000" w14:paraId="000000A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 Gobierno Nacional extiende beneficios fiscales para microempresas durante 2026, fecha de acceso: abril 26, 2026, </w:t>
      </w:r>
      <w:hyperlink r:id="rId23">
        <w:r w:rsidDel="00000000" w:rsidR="00000000" w:rsidRPr="00000000">
          <w:rPr>
            <w:rFonts w:ascii="Google Sans" w:cs="Google Sans" w:eastAsia="Google Sans" w:hAnsi="Google Sans"/>
            <w:color w:val="0000ee"/>
            <w:sz w:val="24"/>
            <w:szCs w:val="24"/>
            <w:u w:val="single"/>
            <w:rtl w:val="0"/>
          </w:rPr>
          <w:t xml:space="preserve">https://www.argentina.gob.ar/noticias/el-gobierno-nacional-extiende-beneficios-fiscales-para-microempresas-durante-2026</w:t>
        </w:r>
      </w:hyperlink>
      <w:r w:rsidDel="00000000" w:rsidR="00000000" w:rsidRPr="00000000">
        <w:rPr>
          <w:rtl w:val="0"/>
        </w:rPr>
      </w:r>
    </w:p>
    <w:p w:rsidR="00000000" w:rsidDel="00000000" w:rsidP="00000000" w:rsidRDefault="00000000" w:rsidRPr="00000000" w14:paraId="000000A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RIMI: se reglamentó el acceso a beneficios fiscales para Pymes - Errepar, fecha de acceso: abril 26, 2026, </w:t>
      </w:r>
      <w:hyperlink r:id="rId24">
        <w:r w:rsidDel="00000000" w:rsidR="00000000" w:rsidRPr="00000000">
          <w:rPr>
            <w:rFonts w:ascii="Google Sans" w:cs="Google Sans" w:eastAsia="Google Sans" w:hAnsi="Google Sans"/>
            <w:color w:val="0000ee"/>
            <w:sz w:val="24"/>
            <w:szCs w:val="24"/>
            <w:u w:val="single"/>
            <w:rtl w:val="0"/>
          </w:rPr>
          <w:t xml:space="preserve">https://documento.errepar.com/actualidad/rimi-se-reglamento-el-acceso-a-beneficios-fiscales-para-pymes-20260413123319223</w:t>
        </w:r>
      </w:hyperlink>
      <w:r w:rsidDel="00000000" w:rsidR="00000000" w:rsidRPr="00000000">
        <w:rPr>
          <w:rtl w:val="0"/>
        </w:rPr>
      </w:r>
    </w:p>
    <w:p w:rsidR="00000000" w:rsidDel="00000000" w:rsidP="00000000" w:rsidRDefault="00000000" w:rsidRPr="00000000" w14:paraId="000000A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RIMI 2026: Beneficios Fiscales para PyMEs en Espera de Reglamentación, fecha de acceso: abril 26, 2026, </w:t>
      </w:r>
      <w:hyperlink r:id="rId25">
        <w:r w:rsidDel="00000000" w:rsidR="00000000" w:rsidRPr="00000000">
          <w:rPr>
            <w:rFonts w:ascii="Google Sans" w:cs="Google Sans" w:eastAsia="Google Sans" w:hAnsi="Google Sans"/>
            <w:color w:val="0000ee"/>
            <w:sz w:val="24"/>
            <w:szCs w:val="24"/>
            <w:u w:val="single"/>
            <w:rtl w:val="0"/>
          </w:rPr>
          <w:t xml:space="preserve">https://fussionconsultora.com/2026/04/rimi-2026-beneficios-fiscales-para-pymes-en-espera-de-reglamentacion/</w:t>
        </w:r>
      </w:hyperlink>
      <w:r w:rsidDel="00000000" w:rsidR="00000000" w:rsidRPr="00000000">
        <w:rPr>
          <w:rtl w:val="0"/>
        </w:rPr>
      </w:r>
    </w:p>
    <w:p w:rsidR="00000000" w:rsidDel="00000000" w:rsidP="00000000" w:rsidRDefault="00000000" w:rsidRPr="00000000" w14:paraId="000000B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ECONOMÍA de GUERRA para el consumo masivo y GASTO PREMIUM para la clase alta, fecha de acceso: abril 26, 2026, </w:t>
      </w:r>
      <w:hyperlink r:id="rId26">
        <w:r w:rsidDel="00000000" w:rsidR="00000000" w:rsidRPr="00000000">
          <w:rPr>
            <w:rFonts w:ascii="Google Sans" w:cs="Google Sans" w:eastAsia="Google Sans" w:hAnsi="Google Sans"/>
            <w:color w:val="0000ee"/>
            <w:sz w:val="24"/>
            <w:szCs w:val="24"/>
            <w:u w:val="single"/>
            <w:rtl w:val="0"/>
          </w:rPr>
          <w:t xml:space="preserve">https://www.eldestapeweb.com/economia/economia-partida-se-consolida-el-ajuste-en-consumo-masivo-mientras-los-de-arriba-aceleran-el-gasto-premium-2026425135423</w:t>
        </w:r>
      </w:hyperlink>
      <w:r w:rsidDel="00000000" w:rsidR="00000000" w:rsidRPr="00000000">
        <w:rPr>
          <w:rtl w:val="0"/>
        </w:rPr>
      </w:r>
    </w:p>
    <w:p w:rsidR="00000000" w:rsidDel="00000000" w:rsidP="00000000" w:rsidRDefault="00000000" w:rsidRPr="00000000" w14:paraId="000000B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 consolidan tendencias de consumo: se destinan más en transporte, servicios y comercios de cercanía - Ámbito Financiero, fecha de acceso: abril 26, 2026, </w:t>
      </w:r>
      <w:hyperlink r:id="rId27">
        <w:r w:rsidDel="00000000" w:rsidR="00000000" w:rsidRPr="00000000">
          <w:rPr>
            <w:rFonts w:ascii="Google Sans" w:cs="Google Sans" w:eastAsia="Google Sans" w:hAnsi="Google Sans"/>
            <w:color w:val="0000ee"/>
            <w:sz w:val="24"/>
            <w:szCs w:val="24"/>
            <w:u w:val="single"/>
            <w:rtl w:val="0"/>
          </w:rPr>
          <w:t xml:space="preserve">https://www.ambito.com/economia/se-consolidan-tendencias-consumo-se-destinan-mas-transporte-servicios-y-comercios-cercania-n6270859</w:t>
        </w:r>
      </w:hyperlink>
      <w:r w:rsidDel="00000000" w:rsidR="00000000" w:rsidRPr="00000000">
        <w:rPr>
          <w:rtl w:val="0"/>
        </w:rPr>
      </w:r>
    </w:p>
    <w:p w:rsidR="00000000" w:rsidDel="00000000" w:rsidP="00000000" w:rsidRDefault="00000000" w:rsidRPr="00000000" w14:paraId="000000B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Inflación de abril 2026: señales de desaceleración en alimentos moderan el índice, pero la núcleo sigue alta - Diario Río Negro, fecha de acceso: abril 26, 2026, </w:t>
      </w:r>
      <w:hyperlink r:id="rId28">
        <w:r w:rsidDel="00000000" w:rsidR="00000000" w:rsidRPr="00000000">
          <w:rPr>
            <w:rFonts w:ascii="Google Sans" w:cs="Google Sans" w:eastAsia="Google Sans" w:hAnsi="Google Sans"/>
            <w:color w:val="0000ee"/>
            <w:sz w:val="24"/>
            <w:szCs w:val="24"/>
            <w:u w:val="single"/>
            <w:rtl w:val="0"/>
          </w:rPr>
          <w:t xml:space="preserve">https://www.rionegro.com.ar/economia/inflacion-de-abril-2026-senales-de-desaceleracion-en-alimentos-moderan-el-indice-pero-la-nucleo-sigue-alta-4547575/</w:t>
        </w:r>
      </w:hyperlink>
      <w:r w:rsidDel="00000000" w:rsidR="00000000" w:rsidRPr="00000000">
        <w:rPr>
          <w:rtl w:val="0"/>
        </w:rPr>
      </w:r>
    </w:p>
    <w:p w:rsidR="00000000" w:rsidDel="00000000" w:rsidP="00000000" w:rsidRDefault="00000000" w:rsidRPr="00000000" w14:paraId="000000B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 consumo masivo volvió a caer fuerte en marzo y no se esperan mejoras este año: qué comercios son los más afectados - Infobae, fecha de acceso: abril 26, 2026, </w:t>
      </w:r>
      <w:hyperlink r:id="rId29">
        <w:r w:rsidDel="00000000" w:rsidR="00000000" w:rsidRPr="00000000">
          <w:rPr>
            <w:rFonts w:ascii="Google Sans" w:cs="Google Sans" w:eastAsia="Google Sans" w:hAnsi="Google Sans"/>
            <w:color w:val="0000ee"/>
            <w:sz w:val="24"/>
            <w:szCs w:val="24"/>
            <w:u w:val="single"/>
            <w:rtl w:val="0"/>
          </w:rPr>
          <w:t xml:space="preserve">https://www.infobae.com/economia/2026/04/23/el-consumo-masivo-volvio-a-caer-fuerte-en-marzo-y-no-se-esperan-mejoras-este-ano-que-comercios-son-los-mas-afectados/</w:t>
        </w:r>
      </w:hyperlink>
      <w:r w:rsidDel="00000000" w:rsidR="00000000" w:rsidRPr="00000000">
        <w:rPr>
          <w:rtl w:val="0"/>
        </w:rPr>
      </w:r>
    </w:p>
    <w:p w:rsidR="00000000" w:rsidDel="00000000" w:rsidP="00000000" w:rsidRDefault="00000000" w:rsidRPr="00000000" w14:paraId="000000B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Adiós al «chango lleno»: El nuevo mapa del consumo en Argentina prioriza el gasto diario, fecha de acceso: abril 26, 2026, </w:t>
      </w:r>
      <w:hyperlink r:id="rId30">
        <w:r w:rsidDel="00000000" w:rsidR="00000000" w:rsidRPr="00000000">
          <w:rPr>
            <w:rFonts w:ascii="Google Sans" w:cs="Google Sans" w:eastAsia="Google Sans" w:hAnsi="Google Sans"/>
            <w:color w:val="0000ee"/>
            <w:sz w:val="24"/>
            <w:szCs w:val="24"/>
            <w:u w:val="single"/>
            <w:rtl w:val="0"/>
          </w:rPr>
          <w:t xml:space="preserve">https://cholilaonline.ar/2026/04/adios-al-chango-lleno-el-nuevo-mapa-del-consumo-en-argentina-prioriza-el-gasto-diario.html</w:t>
        </w:r>
      </w:hyperlink>
      <w:r w:rsidDel="00000000" w:rsidR="00000000" w:rsidRPr="00000000">
        <w:rPr>
          <w:rtl w:val="0"/>
        </w:rPr>
      </w:r>
    </w:p>
    <w:p w:rsidR="00000000" w:rsidDel="00000000" w:rsidP="00000000" w:rsidRDefault="00000000" w:rsidRPr="00000000" w14:paraId="000000B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Consumo en mutación: leve repunte, caída en supermercados y giro hacia compras de cercanía - Agencia Noticias Argentinas, fecha de acceso: abril 26, 2026, </w:t>
      </w:r>
      <w:hyperlink r:id="rId31">
        <w:r w:rsidDel="00000000" w:rsidR="00000000" w:rsidRPr="00000000">
          <w:rPr>
            <w:rFonts w:ascii="Google Sans" w:cs="Google Sans" w:eastAsia="Google Sans" w:hAnsi="Google Sans"/>
            <w:color w:val="0000ee"/>
            <w:sz w:val="24"/>
            <w:szCs w:val="24"/>
            <w:u w:val="single"/>
            <w:rtl w:val="0"/>
          </w:rPr>
          <w:t xml:space="preserve">https://noticiasargentinas.com/economia/consumo-en-mutacion--leve-repunte--caida-en-supermercados-y-giro-hacia-compras-de-cercania_a69ecc3c67825f88153e1bffa</w:t>
        </w:r>
      </w:hyperlink>
      <w:r w:rsidDel="00000000" w:rsidR="00000000" w:rsidRPr="00000000">
        <w:rPr>
          <w:rtl w:val="0"/>
        </w:rPr>
      </w:r>
    </w:p>
    <w:p w:rsidR="00000000" w:rsidDel="00000000" w:rsidP="00000000" w:rsidRDefault="00000000" w:rsidRPr="00000000" w14:paraId="000000B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Consumo en baja: los hogares argentinos compran menos y eligen cada vez más marcas económicas - Infobae, fecha de acceso: abril 26, 2026, </w:t>
      </w:r>
      <w:hyperlink r:id="rId32">
        <w:r w:rsidDel="00000000" w:rsidR="00000000" w:rsidRPr="00000000">
          <w:rPr>
            <w:rFonts w:ascii="Google Sans" w:cs="Google Sans" w:eastAsia="Google Sans" w:hAnsi="Google Sans"/>
            <w:color w:val="0000ee"/>
            <w:sz w:val="24"/>
            <w:szCs w:val="24"/>
            <w:u w:val="single"/>
            <w:rtl w:val="0"/>
          </w:rPr>
          <w:t xml:space="preserve">https://www.infobae.com/economia/2026/03/30/consumo-en-baja-los-hogares-argentinos-compran-menos-y-eligen-cada-vez-mas-marcas-economicas/</w:t>
        </w:r>
      </w:hyperlink>
      <w:r w:rsidDel="00000000" w:rsidR="00000000" w:rsidRPr="00000000">
        <w:rPr>
          <w:rtl w:val="0"/>
        </w:rPr>
      </w:r>
    </w:p>
    <w:p w:rsidR="00000000" w:rsidDel="00000000" w:rsidP="00000000" w:rsidRDefault="00000000" w:rsidRPr="00000000" w14:paraId="000000B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Consumo masivo: ante la pérdida de poder adquisitivo, caen las compras en supermercados y se acentúan los comercios de cercanía, fecha de acceso: abril 26, 2026, </w:t>
      </w:r>
      <w:hyperlink r:id="rId33">
        <w:r w:rsidDel="00000000" w:rsidR="00000000" w:rsidRPr="00000000">
          <w:rPr>
            <w:rFonts w:ascii="Google Sans" w:cs="Google Sans" w:eastAsia="Google Sans" w:hAnsi="Google Sans"/>
            <w:color w:val="0000ee"/>
            <w:sz w:val="24"/>
            <w:szCs w:val="24"/>
            <w:u w:val="single"/>
            <w:rtl w:val="0"/>
          </w:rPr>
          <w:t xml:space="preserve">https://www.conclusion.com.ar/politica/economia/consumo-masivo-ante-la-perdida-de-poder-adquisitivo-caen-las-compras-en-supermercados-y-se-acentuan-los-comercios-de-cercania/04/2026/</w:t>
        </w:r>
      </w:hyperlink>
      <w:r w:rsidDel="00000000" w:rsidR="00000000" w:rsidRPr="00000000">
        <w:rPr>
          <w:rtl w:val="0"/>
        </w:rPr>
      </w:r>
    </w:p>
    <w:p w:rsidR="00000000" w:rsidDel="00000000" w:rsidP="00000000" w:rsidRDefault="00000000" w:rsidRPr="00000000" w14:paraId="000000B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Consumo masivo en Argentina: de la compra mensual al control diario del gasto, fecha de acceso: abril 26, 2026, </w:t>
      </w:r>
      <w:hyperlink r:id="rId34">
        <w:r w:rsidDel="00000000" w:rsidR="00000000" w:rsidRPr="00000000">
          <w:rPr>
            <w:rFonts w:ascii="Google Sans" w:cs="Google Sans" w:eastAsia="Google Sans" w:hAnsi="Google Sans"/>
            <w:color w:val="0000ee"/>
            <w:sz w:val="24"/>
            <w:szCs w:val="24"/>
            <w:u w:val="single"/>
            <w:rtl w:val="0"/>
          </w:rPr>
          <w:t xml:space="preserve">https://informatesalta.com.ar/economia/consumo-masivo-en-argentina--de-la-compra-mensual-al-control-diario-del-gasto_a69ecf10df677f0d145bd8128</w:t>
        </w:r>
      </w:hyperlink>
      <w:r w:rsidDel="00000000" w:rsidR="00000000" w:rsidRPr="00000000">
        <w:rPr>
          <w:rtl w:val="0"/>
        </w:rPr>
      </w:r>
    </w:p>
    <w:p w:rsidR="00000000" w:rsidDel="00000000" w:rsidP="00000000" w:rsidRDefault="00000000" w:rsidRPr="00000000" w14:paraId="000000B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Precio del Trigo en Rosario hoy 21 abril 2026 - Infocampo, fecha de acceso: abril 26, 2026, </w:t>
      </w:r>
      <w:hyperlink r:id="rId35">
        <w:r w:rsidDel="00000000" w:rsidR="00000000" w:rsidRPr="00000000">
          <w:rPr>
            <w:rFonts w:ascii="Google Sans" w:cs="Google Sans" w:eastAsia="Google Sans" w:hAnsi="Google Sans"/>
            <w:color w:val="0000ee"/>
            <w:sz w:val="24"/>
            <w:szCs w:val="24"/>
            <w:u w:val="single"/>
            <w:rtl w:val="0"/>
          </w:rPr>
          <w:t xml:space="preserve">https://www.infocampo.com.ar/precio-del-trigo-hoy-21-abril-2026/</w:t>
        </w:r>
      </w:hyperlink>
      <w:r w:rsidDel="00000000" w:rsidR="00000000" w:rsidRPr="00000000">
        <w:rPr>
          <w:rtl w:val="0"/>
        </w:rPr>
      </w:r>
    </w:p>
    <w:p w:rsidR="00000000" w:rsidDel="00000000" w:rsidP="00000000" w:rsidRDefault="00000000" w:rsidRPr="00000000" w14:paraId="000000B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HARINA DE ARROZ x 25 kg - Mayorista de Legumbres, fecha de acceso: abril 26, 2026, </w:t>
      </w:r>
      <w:hyperlink r:id="rId36">
        <w:r w:rsidDel="00000000" w:rsidR="00000000" w:rsidRPr="00000000">
          <w:rPr>
            <w:rFonts w:ascii="Google Sans" w:cs="Google Sans" w:eastAsia="Google Sans" w:hAnsi="Google Sans"/>
            <w:color w:val="0000ee"/>
            <w:sz w:val="24"/>
            <w:szCs w:val="24"/>
            <w:u w:val="single"/>
            <w:rtl w:val="0"/>
          </w:rPr>
          <w:t xml:space="preserve">https://www.mayoristadelegumbres.com.ar/producto/harina-de-arroz-x-25-kg/</w:t>
        </w:r>
      </w:hyperlink>
      <w:r w:rsidDel="00000000" w:rsidR="00000000" w:rsidRPr="00000000">
        <w:rPr>
          <w:rtl w:val="0"/>
        </w:rPr>
      </w:r>
    </w:p>
    <w:p w:rsidR="00000000" w:rsidDel="00000000" w:rsidP="00000000" w:rsidRDefault="00000000" w:rsidRPr="00000000" w14:paraId="000000B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Bolsa De Harina 25 Kg | MercadoLibre, fecha de acceso: abril 26, 2026, </w:t>
      </w:r>
      <w:hyperlink r:id="rId37">
        <w:r w:rsidDel="00000000" w:rsidR="00000000" w:rsidRPr="00000000">
          <w:rPr>
            <w:rFonts w:ascii="Google Sans" w:cs="Google Sans" w:eastAsia="Google Sans" w:hAnsi="Google Sans"/>
            <w:color w:val="0000ee"/>
            <w:sz w:val="24"/>
            <w:szCs w:val="24"/>
            <w:u w:val="single"/>
            <w:rtl w:val="0"/>
          </w:rPr>
          <w:t xml:space="preserve">https://listado.mercadolibre.com.ar/bolsa-de-harina-25-kg</w:t>
        </w:r>
      </w:hyperlink>
      <w:r w:rsidDel="00000000" w:rsidR="00000000" w:rsidRPr="00000000">
        <w:rPr>
          <w:rtl w:val="0"/>
        </w:rPr>
      </w:r>
    </w:p>
    <w:p w:rsidR="00000000" w:rsidDel="00000000" w:rsidP="00000000" w:rsidRDefault="00000000" w:rsidRPr="00000000" w14:paraId="000000B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Optimización de procesos en panificación: de la teoría a la práctica - The Food Tech, fecha de acceso: abril 26, 2026, </w:t>
      </w:r>
      <w:hyperlink r:id="rId38">
        <w:r w:rsidDel="00000000" w:rsidR="00000000" w:rsidRPr="00000000">
          <w:rPr>
            <w:rFonts w:ascii="Google Sans" w:cs="Google Sans" w:eastAsia="Google Sans" w:hAnsi="Google Sans"/>
            <w:color w:val="0000ee"/>
            <w:sz w:val="24"/>
            <w:szCs w:val="24"/>
            <w:u w:val="single"/>
            <w:rtl w:val="0"/>
          </w:rPr>
          <w:t xml:space="preserve">https://thefoodtech.com/soluciones-y-tecnologia-alimentaria/optimizacion-de-procesos-en-panificacion-como-bajar-mermas-energia-y-variabilidad-sin-comprometer-inocuidad-/</w:t>
        </w:r>
      </w:hyperlink>
      <w:r w:rsidDel="00000000" w:rsidR="00000000" w:rsidRPr="00000000">
        <w:rPr>
          <w:rtl w:val="0"/>
        </w:rPr>
      </w:r>
    </w:p>
    <w:p w:rsidR="00000000" w:rsidDel="00000000" w:rsidP="00000000" w:rsidRDefault="00000000" w:rsidRPr="00000000" w14:paraId="000000B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Alimentación funcional en 2026: tendencias y oportunidades - Trades, S.A., fecha de acceso: abril 26, 2026, </w:t>
      </w:r>
      <w:hyperlink r:id="rId39">
        <w:r w:rsidDel="00000000" w:rsidR="00000000" w:rsidRPr="00000000">
          <w:rPr>
            <w:rFonts w:ascii="Google Sans" w:cs="Google Sans" w:eastAsia="Google Sans" w:hAnsi="Google Sans"/>
            <w:color w:val="0000ee"/>
            <w:sz w:val="24"/>
            <w:szCs w:val="24"/>
            <w:u w:val="single"/>
            <w:rtl w:val="0"/>
          </w:rPr>
          <w:t xml:space="preserve">https://www.trades-sa.com/tendencias/alimentacion-funcional-2026/</w:t>
        </w:r>
      </w:hyperlink>
      <w:r w:rsidDel="00000000" w:rsidR="00000000" w:rsidRPr="00000000">
        <w:rPr>
          <w:rtl w:val="0"/>
        </w:rPr>
      </w:r>
    </w:p>
    <w:p w:rsidR="00000000" w:rsidDel="00000000" w:rsidP="00000000" w:rsidRDefault="00000000" w:rsidRPr="00000000" w14:paraId="000000B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Diagnóstico de trastornos relacionados con el gluten: enfermedad celíaca, alergia al trigo y sensibilidad al gluten no - SMIBA, fecha de acceso: abril 26, 2026, </w:t>
      </w:r>
      <w:hyperlink r:id="rId40">
        <w:r w:rsidDel="00000000" w:rsidR="00000000" w:rsidRPr="00000000">
          <w:rPr>
            <w:rFonts w:ascii="Google Sans" w:cs="Google Sans" w:eastAsia="Google Sans" w:hAnsi="Google Sans"/>
            <w:color w:val="0000ee"/>
            <w:sz w:val="24"/>
            <w:szCs w:val="24"/>
            <w:u w:val="single"/>
            <w:rtl w:val="0"/>
          </w:rPr>
          <w:t xml:space="preserve">https://smiba.org.ar/curso_medico_especialista/lecturas_2022/Diagn%C3%B3stico%20de%20trastornos%20relacionados%20con%20el%20gluten.pdf</w:t>
        </w:r>
      </w:hyperlink>
      <w:r w:rsidDel="00000000" w:rsidR="00000000" w:rsidRPr="00000000">
        <w:rPr>
          <w:rtl w:val="0"/>
        </w:rPr>
      </w:r>
    </w:p>
    <w:p w:rsidR="00000000" w:rsidDel="00000000" w:rsidP="00000000" w:rsidRDefault="00000000" w:rsidRPr="00000000" w14:paraId="000000B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 nuevo carrito argentino: una apuesta por la alimentación consciente - Kantar, fecha de acceso: abril 26, 2026, </w:t>
      </w:r>
      <w:hyperlink r:id="rId41">
        <w:r w:rsidDel="00000000" w:rsidR="00000000" w:rsidRPr="00000000">
          <w:rPr>
            <w:rFonts w:ascii="Google Sans" w:cs="Google Sans" w:eastAsia="Google Sans" w:hAnsi="Google Sans"/>
            <w:color w:val="0000ee"/>
            <w:sz w:val="24"/>
            <w:szCs w:val="24"/>
            <w:u w:val="single"/>
            <w:rtl w:val="0"/>
          </w:rPr>
          <w:t xml:space="preserve">https://www.kantar.com/latin-america/inspiracion/consumo-masivo/2025/tendencias-en-la-nutricion-de-los-consumidores-en-argentina</w:t>
        </w:r>
      </w:hyperlink>
      <w:r w:rsidDel="00000000" w:rsidR="00000000" w:rsidRPr="00000000">
        <w:rPr>
          <w:rtl w:val="0"/>
        </w:rPr>
      </w:r>
    </w:p>
    <w:p w:rsidR="00000000" w:rsidDel="00000000" w:rsidP="00000000" w:rsidRDefault="00000000" w:rsidRPr="00000000" w14:paraId="000000C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Panificación 2025–2026: tendencias, ciencia e ingredientes clave para liderar el mercado, fecha de acceso: abril 26, 2026, </w:t>
      </w:r>
      <w:hyperlink r:id="rId42">
        <w:r w:rsidDel="00000000" w:rsidR="00000000" w:rsidRPr="00000000">
          <w:rPr>
            <w:rFonts w:ascii="Google Sans" w:cs="Google Sans" w:eastAsia="Google Sans" w:hAnsi="Google Sans"/>
            <w:color w:val="0000ee"/>
            <w:sz w:val="24"/>
            <w:szCs w:val="24"/>
            <w:u w:val="single"/>
            <w:rtl w:val="0"/>
          </w:rPr>
          <w:t xml:space="preserve">https://thefoodtech.com/soluciones-y-tecnologia-alimentaria/panificacion-20252026-ciencia-frescura-y-nutricion-avanzada/</w:t>
        </w:r>
      </w:hyperlink>
      <w:r w:rsidDel="00000000" w:rsidR="00000000" w:rsidRPr="00000000">
        <w:rPr>
          <w:rtl w:val="0"/>
        </w:rPr>
      </w:r>
    </w:p>
    <w:p w:rsidR="00000000" w:rsidDel="00000000" w:rsidP="00000000" w:rsidRDefault="00000000" w:rsidRPr="00000000" w14:paraId="000000C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Cómo mejorar la ternura e incrementar la vida útil en productos de panadería y pastelería industrial - Alifarma, fecha de acceso: abril 26, 2026, </w:t>
      </w:r>
      <w:hyperlink r:id="rId43">
        <w:r w:rsidDel="00000000" w:rsidR="00000000" w:rsidRPr="00000000">
          <w:rPr>
            <w:rFonts w:ascii="Google Sans" w:cs="Google Sans" w:eastAsia="Google Sans" w:hAnsi="Google Sans"/>
            <w:color w:val="0000ee"/>
            <w:sz w:val="24"/>
            <w:szCs w:val="24"/>
            <w:u w:val="single"/>
            <w:rtl w:val="0"/>
          </w:rPr>
          <w:t xml:space="preserve">https://www.alifarma.com/publicaciones/como-mejorar-la-ternura-e-incrementar-la-vida-util-en-productos-de-panaderia-y-pasteleria-industrial/</w:t>
        </w:r>
      </w:hyperlink>
      <w:r w:rsidDel="00000000" w:rsidR="00000000" w:rsidRPr="00000000">
        <w:rPr>
          <w:rtl w:val="0"/>
        </w:rPr>
      </w:r>
    </w:p>
    <w:p w:rsidR="00000000" w:rsidDel="00000000" w:rsidP="00000000" w:rsidRDefault="00000000" w:rsidRPr="00000000" w14:paraId="000000C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Tamaño, participación y crecimiento del mercado de alimentos sin gluten | Pronóstico [2034], fecha de acceso: abril 26, 2026, </w:t>
      </w:r>
      <w:hyperlink r:id="rId44">
        <w:r w:rsidDel="00000000" w:rsidR="00000000" w:rsidRPr="00000000">
          <w:rPr>
            <w:rFonts w:ascii="Google Sans" w:cs="Google Sans" w:eastAsia="Google Sans" w:hAnsi="Google Sans"/>
            <w:color w:val="0000ee"/>
            <w:sz w:val="24"/>
            <w:szCs w:val="24"/>
            <w:u w:val="single"/>
            <w:rtl w:val="0"/>
          </w:rPr>
          <w:t xml:space="preserve">https://www.fortunebusinessinsights.com/es/industry-reports/gluten-free-food-market-100188</w:t>
        </w:r>
      </w:hyperlink>
      <w:r w:rsidDel="00000000" w:rsidR="00000000" w:rsidRPr="00000000">
        <w:rPr>
          <w:rtl w:val="0"/>
        </w:rPr>
      </w:r>
    </w:p>
    <w:p w:rsidR="00000000" w:rsidDel="00000000" w:rsidP="00000000" w:rsidRDefault="00000000" w:rsidRPr="00000000" w14:paraId="000000C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Revista SAN, fecha de acceso: abril 26, 2026, </w:t>
      </w:r>
      <w:hyperlink r:id="rId45">
        <w:r w:rsidDel="00000000" w:rsidR="00000000" w:rsidRPr="00000000">
          <w:rPr>
            <w:rFonts w:ascii="Google Sans" w:cs="Google Sans" w:eastAsia="Google Sans" w:hAnsi="Google Sans"/>
            <w:color w:val="0000ee"/>
            <w:sz w:val="24"/>
            <w:szCs w:val="24"/>
            <w:u w:val="single"/>
            <w:rtl w:val="0"/>
          </w:rPr>
          <w:t xml:space="preserve">https://www.revistasan.org.ar/articulo_html.php?ida=2025_26_1_3</w:t>
        </w:r>
      </w:hyperlink>
      <w:r w:rsidDel="00000000" w:rsidR="00000000" w:rsidRPr="00000000">
        <w:rPr>
          <w:rtl w:val="0"/>
        </w:rPr>
      </w:r>
    </w:p>
    <w:p w:rsidR="00000000" w:rsidDel="00000000" w:rsidP="00000000" w:rsidRDefault="00000000" w:rsidRPr="00000000" w14:paraId="000000C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Revista SAN, fecha de acceso: abril 26, 2026, </w:t>
      </w:r>
      <w:hyperlink r:id="rId46">
        <w:r w:rsidDel="00000000" w:rsidR="00000000" w:rsidRPr="00000000">
          <w:rPr>
            <w:rFonts w:ascii="Google Sans" w:cs="Google Sans" w:eastAsia="Google Sans" w:hAnsi="Google Sans"/>
            <w:color w:val="0000ee"/>
            <w:sz w:val="24"/>
            <w:szCs w:val="24"/>
            <w:u w:val="single"/>
            <w:rtl w:val="0"/>
          </w:rPr>
          <w:t xml:space="preserve">https://www.revistasan.org.ar/articulo_html.php?ida=2024_25_3_137</w:t>
        </w:r>
      </w:hyperlink>
      <w:r w:rsidDel="00000000" w:rsidR="00000000" w:rsidRPr="00000000">
        <w:rPr>
          <w:rtl w:val="0"/>
        </w:rPr>
      </w:r>
    </w:p>
    <w:p w:rsidR="00000000" w:rsidDel="00000000" w:rsidP="00000000" w:rsidRDefault="00000000" w:rsidRPr="00000000" w14:paraId="000000C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Nuevas tendencias en panificación - UDLAP, fecha de acceso: abril 26, 2026, </w:t>
      </w:r>
      <w:hyperlink r:id="rId47">
        <w:r w:rsidDel="00000000" w:rsidR="00000000" w:rsidRPr="00000000">
          <w:rPr>
            <w:rFonts w:ascii="Google Sans" w:cs="Google Sans" w:eastAsia="Google Sans" w:hAnsi="Google Sans"/>
            <w:color w:val="0000ee"/>
            <w:sz w:val="24"/>
            <w:szCs w:val="24"/>
            <w:u w:val="single"/>
            <w:rtl w:val="0"/>
          </w:rPr>
          <w:t xml:space="preserve">https://www.udlap.mx/TSIA/assets/files/volumen2-1/TSIA-Vol2-No1-Cano-Montiel-2008a.pdf</w:t>
        </w:r>
      </w:hyperlink>
      <w:r w:rsidDel="00000000" w:rsidR="00000000" w:rsidRPr="00000000">
        <w:rPr>
          <w:rtl w:val="0"/>
        </w:rPr>
      </w:r>
    </w:p>
    <w:p w:rsidR="00000000" w:rsidDel="00000000" w:rsidP="00000000" w:rsidRDefault="00000000" w:rsidRPr="00000000" w14:paraId="000000C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Tamaño del mercado de hidrocoloides alimentarios, informe de previsiones 2026-2035, fecha de acceso: abril 26, 2026, </w:t>
      </w:r>
      <w:hyperlink r:id="rId48">
        <w:r w:rsidDel="00000000" w:rsidR="00000000" w:rsidRPr="00000000">
          <w:rPr>
            <w:rFonts w:ascii="Google Sans" w:cs="Google Sans" w:eastAsia="Google Sans" w:hAnsi="Google Sans"/>
            <w:color w:val="0000ee"/>
            <w:sz w:val="24"/>
            <w:szCs w:val="24"/>
            <w:u w:val="single"/>
            <w:rtl w:val="0"/>
          </w:rPr>
          <w:t xml:space="preserve">https://www.gminsights.com/es/industry-analysis/food-hydrocolloids-market</w:t>
        </w:r>
      </w:hyperlink>
      <w:r w:rsidDel="00000000" w:rsidR="00000000" w:rsidRPr="00000000">
        <w:rPr>
          <w:rtl w:val="0"/>
        </w:rPr>
      </w:r>
    </w:p>
    <w:p w:rsidR="00000000" w:rsidDel="00000000" w:rsidP="00000000" w:rsidRDefault="00000000" w:rsidRPr="00000000" w14:paraId="000000C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Blog: soluciones enzimáticas para frabricantes de panificación - IFF, fecha de acceso: abril 26, 2026, </w:t>
      </w:r>
      <w:hyperlink r:id="rId49">
        <w:r w:rsidDel="00000000" w:rsidR="00000000" w:rsidRPr="00000000">
          <w:rPr>
            <w:rFonts w:ascii="Google Sans" w:cs="Google Sans" w:eastAsia="Google Sans" w:hAnsi="Google Sans"/>
            <w:color w:val="0000ee"/>
            <w:sz w:val="24"/>
            <w:szCs w:val="24"/>
            <w:u w:val="single"/>
            <w:rtl w:val="0"/>
          </w:rPr>
          <w:t xml:space="preserve">https://www.iff.com/media/stories/fortaleciendo-la-masa-en-panificacion-industrial-soluciones-enzimaticas-que-marcan-la-diferencia/</w:t>
        </w:r>
      </w:hyperlink>
      <w:r w:rsidDel="00000000" w:rsidR="00000000" w:rsidRPr="00000000">
        <w:rPr>
          <w:rtl w:val="0"/>
        </w:rPr>
      </w:r>
    </w:p>
    <w:p w:rsidR="00000000" w:rsidDel="00000000" w:rsidP="00000000" w:rsidRDefault="00000000" w:rsidRPr="00000000" w14:paraId="000000C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DSM lanza nuevas soluciones enzimáticas en IFT17 para mejorar la suavidad y humedad del pan sin gluten, fecha de acceso: abril 26, 2026, </w:t>
      </w:r>
      <w:hyperlink r:id="rId50">
        <w:r w:rsidDel="00000000" w:rsidR="00000000" w:rsidRPr="00000000">
          <w:rPr>
            <w:rFonts w:ascii="Google Sans" w:cs="Google Sans" w:eastAsia="Google Sans" w:hAnsi="Google Sans"/>
            <w:color w:val="0000ee"/>
            <w:sz w:val="24"/>
            <w:szCs w:val="24"/>
            <w:u w:val="single"/>
            <w:rtl w:val="0"/>
          </w:rPr>
          <w:t xml:space="preserve">https://www.dsm-firmenich.com/es-mx/businesses/taste-texture-health/news-events/press-releases/archive/2017-06-15-dsm-launches-new-enzyme-solutions-at-ift17-to-improve-softness-and-moistness-of-gluten-free-bread.html</w:t>
        </w:r>
      </w:hyperlink>
      <w:r w:rsidDel="00000000" w:rsidR="00000000" w:rsidRPr="00000000">
        <w:rPr>
          <w:rtl w:val="0"/>
        </w:rPr>
      </w:r>
    </w:p>
    <w:p w:rsidR="00000000" w:rsidDel="00000000" w:rsidP="00000000" w:rsidRDefault="00000000" w:rsidRPr="00000000" w14:paraId="000000C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Construir un futuro panadero mejor - DSM-Firmenich, fecha de acceso: abril 26, 2026, </w:t>
      </w:r>
      <w:hyperlink r:id="rId51">
        <w:r w:rsidDel="00000000" w:rsidR="00000000" w:rsidRPr="00000000">
          <w:rPr>
            <w:rFonts w:ascii="Google Sans" w:cs="Google Sans" w:eastAsia="Google Sans" w:hAnsi="Google Sans"/>
            <w:color w:val="0000ee"/>
            <w:sz w:val="24"/>
            <w:szCs w:val="24"/>
            <w:u w:val="single"/>
            <w:rtl w:val="0"/>
          </w:rPr>
          <w:t xml:space="preserve">https://www.dsm-firmenich.com/es-mx/businesses/taste-texture-health/news-events/articles/baking/building-a-better-baking-future.html</w:t>
        </w:r>
      </w:hyperlink>
      <w:r w:rsidDel="00000000" w:rsidR="00000000" w:rsidRPr="00000000">
        <w:rPr>
          <w:rtl w:val="0"/>
        </w:rPr>
      </w:r>
    </w:p>
    <w:p w:rsidR="00000000" w:rsidDel="00000000" w:rsidP="00000000" w:rsidRDefault="00000000" w:rsidRPr="00000000" w14:paraId="000000C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MAPAX® - envasado en atmósfera modificada. - Linde, fecha de acceso: abril 26, 2026, </w:t>
      </w:r>
      <w:hyperlink r:id="rId52">
        <w:r w:rsidDel="00000000" w:rsidR="00000000" w:rsidRPr="00000000">
          <w:rPr>
            <w:rFonts w:ascii="Google Sans" w:cs="Google Sans" w:eastAsia="Google Sans" w:hAnsi="Google Sans"/>
            <w:color w:val="0000ee"/>
            <w:sz w:val="24"/>
            <w:szCs w:val="24"/>
            <w:u w:val="single"/>
            <w:rtl w:val="0"/>
          </w:rPr>
          <w:t xml:space="preserve">https://static.prd.echannel.linde.com/wcsstore/ES_RES_Industrial_Gas_Store/Attachment/PDF/MAPAX-Garantizar-la-frescura-de-los-alimentos-12029-0912.pdf</w:t>
        </w:r>
      </w:hyperlink>
      <w:r w:rsidDel="00000000" w:rsidR="00000000" w:rsidRPr="00000000">
        <w:rPr>
          <w:rtl w:val="0"/>
        </w:rPr>
      </w:r>
    </w:p>
    <w:p w:rsidR="00000000" w:rsidDel="00000000" w:rsidP="00000000" w:rsidRDefault="00000000" w:rsidRPr="00000000" w14:paraId="000000C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Envasado - Air Liquide Argentina, fecha de acceso: abril 26, 2026, </w:t>
      </w:r>
      <w:hyperlink r:id="rId53">
        <w:r w:rsidDel="00000000" w:rsidR="00000000" w:rsidRPr="00000000">
          <w:rPr>
            <w:rFonts w:ascii="Google Sans" w:cs="Google Sans" w:eastAsia="Google Sans" w:hAnsi="Google Sans"/>
            <w:color w:val="0000ee"/>
            <w:sz w:val="24"/>
            <w:szCs w:val="24"/>
            <w:u w:val="single"/>
            <w:rtl w:val="0"/>
          </w:rPr>
          <w:t xml:space="preserve">https://ar.airliquide.com/envasado</w:t>
        </w:r>
      </w:hyperlink>
      <w:r w:rsidDel="00000000" w:rsidR="00000000" w:rsidRPr="00000000">
        <w:rPr>
          <w:rtl w:val="0"/>
        </w:rPr>
      </w:r>
    </w:p>
    <w:p w:rsidR="00000000" w:rsidDel="00000000" w:rsidP="00000000" w:rsidRDefault="00000000" w:rsidRPr="00000000" w14:paraId="000000C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Tecnologías para la Industria Alimentaria – Atmósferas modificadas y controladas en la conservación de alimentos, fecha de acceso: abril 26, 2026, </w:t>
      </w:r>
      <w:hyperlink r:id="rId54">
        <w:r w:rsidDel="00000000" w:rsidR="00000000" w:rsidRPr="00000000">
          <w:rPr>
            <w:rFonts w:ascii="Google Sans" w:cs="Google Sans" w:eastAsia="Google Sans" w:hAnsi="Google Sans"/>
            <w:color w:val="0000ee"/>
            <w:sz w:val="24"/>
            <w:szCs w:val="24"/>
            <w:u w:val="single"/>
            <w:rtl w:val="0"/>
          </w:rPr>
          <w:t xml:space="preserve">https://alimentosargentinos.magyp.gob.ar/HomeAlimentos/documentos/Atmosferas.pdf</w:t>
        </w:r>
      </w:hyperlink>
      <w:r w:rsidDel="00000000" w:rsidR="00000000" w:rsidRPr="00000000">
        <w:rPr>
          <w:rtl w:val="0"/>
        </w:rPr>
      </w:r>
    </w:p>
    <w:p w:rsidR="00000000" w:rsidDel="00000000" w:rsidP="00000000" w:rsidRDefault="00000000" w:rsidRPr="00000000" w14:paraId="000000C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Tecnologías de Envasado en Atmósfera Protectora - Fundación madri+d, fecha de acceso: abril 26, 2026, </w:t>
      </w:r>
      <w:hyperlink r:id="rId55">
        <w:r w:rsidDel="00000000" w:rsidR="00000000" w:rsidRPr="00000000">
          <w:rPr>
            <w:rFonts w:ascii="Google Sans" w:cs="Google Sans" w:eastAsia="Google Sans" w:hAnsi="Google Sans"/>
            <w:color w:val="0000ee"/>
            <w:sz w:val="24"/>
            <w:szCs w:val="24"/>
            <w:u w:val="single"/>
            <w:rtl w:val="0"/>
          </w:rPr>
          <w:t xml:space="preserve">https://www.madrimasd.org/sites/default/files/informacionidi/biblioteca/publicacion/doc/VT/vt3_tecnologias_de_envasado_en_atmosfera_protectora.pdf</w:t>
        </w:r>
      </w:hyperlink>
      <w:r w:rsidDel="00000000" w:rsidR="00000000" w:rsidRPr="00000000">
        <w:rPr>
          <w:rtl w:val="0"/>
        </w:rPr>
      </w:r>
    </w:p>
    <w:p w:rsidR="00000000" w:rsidDel="00000000" w:rsidP="00000000" w:rsidRDefault="00000000" w:rsidRPr="00000000" w14:paraId="000000C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FSSC 22000 versión 6: Principales cambios y nuevos requisitos para la industria alimentaria - Tecoal, fecha de acceso: abril 26, 2026, </w:t>
      </w:r>
      <w:hyperlink r:id="rId56">
        <w:r w:rsidDel="00000000" w:rsidR="00000000" w:rsidRPr="00000000">
          <w:rPr>
            <w:rFonts w:ascii="Google Sans" w:cs="Google Sans" w:eastAsia="Google Sans" w:hAnsi="Google Sans"/>
            <w:color w:val="0000ee"/>
            <w:sz w:val="24"/>
            <w:szCs w:val="24"/>
            <w:u w:val="single"/>
            <w:rtl w:val="0"/>
          </w:rPr>
          <w:t xml:space="preserve">https://tecoal.net/normas-de-calidad/fssc-22000-version-6-principales-cambios-y-nuevos-requisitos-para-la-industria-alimentaria/</w:t>
        </w:r>
      </w:hyperlink>
      <w:r w:rsidDel="00000000" w:rsidR="00000000" w:rsidRPr="00000000">
        <w:rPr>
          <w:rtl w:val="0"/>
        </w:rPr>
      </w:r>
    </w:p>
    <w:p w:rsidR="00000000" w:rsidDel="00000000" w:rsidP="00000000" w:rsidRDefault="00000000" w:rsidRPr="00000000" w14:paraId="000000C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FSSC 22000 versión 6 (V6): Nueva versión del estándar FSSC - Bioser, fecha de acceso: abril 26, 2026, </w:t>
      </w:r>
      <w:hyperlink r:id="rId57">
        <w:r w:rsidDel="00000000" w:rsidR="00000000" w:rsidRPr="00000000">
          <w:rPr>
            <w:rFonts w:ascii="Google Sans" w:cs="Google Sans" w:eastAsia="Google Sans" w:hAnsi="Google Sans"/>
            <w:color w:val="0000ee"/>
            <w:sz w:val="24"/>
            <w:szCs w:val="24"/>
            <w:u w:val="single"/>
            <w:rtl w:val="0"/>
          </w:rPr>
          <w:t xml:space="preserve">https://www.bioser.com/blog/fssc-22000-version-6-v6-nueva-version-del-estandar-fssc/</w:t>
        </w:r>
      </w:hyperlink>
      <w:r w:rsidDel="00000000" w:rsidR="00000000" w:rsidRPr="00000000">
        <w:rPr>
          <w:rtl w:val="0"/>
        </w:rPr>
      </w:r>
    </w:p>
    <w:p w:rsidR="00000000" w:rsidDel="00000000" w:rsidP="00000000" w:rsidRDefault="00000000" w:rsidRPr="00000000" w14:paraId="000000D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documento de orientación: cultura de calidad e inocuidad alimentaria - FSSC 22000, fecha de acceso: abril 26, 2026, </w:t>
      </w:r>
      <w:hyperlink r:id="rId58">
        <w:r w:rsidDel="00000000" w:rsidR="00000000" w:rsidRPr="00000000">
          <w:rPr>
            <w:rFonts w:ascii="Google Sans" w:cs="Google Sans" w:eastAsia="Google Sans" w:hAnsi="Google Sans"/>
            <w:color w:val="0000ee"/>
            <w:sz w:val="24"/>
            <w:szCs w:val="24"/>
            <w:u w:val="single"/>
            <w:rtl w:val="0"/>
          </w:rPr>
          <w:t xml:space="preserve">https://www.fssc.com/wp-content/uploads/2023/03/Guidance-Document-Food-Safety-and-Quality-Culture-V6_ES.pdf</w:t>
        </w:r>
      </w:hyperlink>
      <w:r w:rsidDel="00000000" w:rsidR="00000000" w:rsidRPr="00000000">
        <w:rPr>
          <w:rtl w:val="0"/>
        </w:rPr>
      </w:r>
    </w:p>
    <w:p w:rsidR="00000000" w:rsidDel="00000000" w:rsidP="00000000" w:rsidRDefault="00000000" w:rsidRPr="00000000" w14:paraId="000000D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¡Alerta Industrial! Buenos Aires Endurece el Control de Residuos Peligrosos, fecha de acceso: abril 26, 2026, </w:t>
      </w:r>
      <w:hyperlink r:id="rId59">
        <w:r w:rsidDel="00000000" w:rsidR="00000000" w:rsidRPr="00000000">
          <w:rPr>
            <w:rFonts w:ascii="Google Sans" w:cs="Google Sans" w:eastAsia="Google Sans" w:hAnsi="Google Sans"/>
            <w:color w:val="0000ee"/>
            <w:sz w:val="24"/>
            <w:szCs w:val="24"/>
            <w:u w:val="single"/>
            <w:rtl w:val="0"/>
          </w:rPr>
          <w:t xml:space="preserve">https://indicadores.ar/articulo/alerta-industrial-buenos-aires-endurece-el-control-de-residuos-peligrosos-17725</w:t>
        </w:r>
      </w:hyperlink>
      <w:r w:rsidDel="00000000" w:rsidR="00000000" w:rsidRPr="00000000">
        <w:rPr>
          <w:rtl w:val="0"/>
        </w:rPr>
      </w:r>
    </w:p>
    <w:p w:rsidR="00000000" w:rsidDel="00000000" w:rsidP="00000000" w:rsidRDefault="00000000" w:rsidRPr="00000000" w14:paraId="000000D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tendencias clave que van a marcar la industria del packaging alimentario este 2026, fecha de acceso: abril 26, 2026, </w:t>
      </w:r>
      <w:hyperlink r:id="rId60">
        <w:r w:rsidDel="00000000" w:rsidR="00000000" w:rsidRPr="00000000">
          <w:rPr>
            <w:rFonts w:ascii="Google Sans" w:cs="Google Sans" w:eastAsia="Google Sans" w:hAnsi="Google Sans"/>
            <w:color w:val="0000ee"/>
            <w:sz w:val="24"/>
            <w:szCs w:val="24"/>
            <w:u w:val="single"/>
            <w:rtl w:val="0"/>
          </w:rPr>
          <w:t xml:space="preserve">https://formaspackgroup.com/5-tendencias-clave-que-van-a-marcar-la-industria-del-packaging-alimentario-este-2026/</w:t>
        </w:r>
      </w:hyperlink>
      <w:r w:rsidDel="00000000" w:rsidR="00000000" w:rsidRPr="00000000">
        <w:rPr>
          <w:rtl w:val="0"/>
        </w:rPr>
      </w:r>
    </w:p>
    <w:p w:rsidR="00000000" w:rsidDel="00000000" w:rsidP="00000000" w:rsidRDefault="00000000" w:rsidRPr="00000000" w14:paraId="000000D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Apéndice III – Parques Industriales, fecha de acceso: abril 26, 2026, </w:t>
      </w:r>
      <w:hyperlink r:id="rId61">
        <w:r w:rsidDel="00000000" w:rsidR="00000000" w:rsidRPr="00000000">
          <w:rPr>
            <w:rFonts w:ascii="Google Sans" w:cs="Google Sans" w:eastAsia="Google Sans" w:hAnsi="Google Sans"/>
            <w:color w:val="0000ee"/>
            <w:sz w:val="24"/>
            <w:szCs w:val="24"/>
            <w:u w:val="single"/>
            <w:rtl w:val="0"/>
          </w:rPr>
          <w:t xml:space="preserve">https://www.ambiente.gba.gob.ar/sites/default/files/instructivos/Orientador%20solicitud%20del%20CAA%20Agrupamientos%20Industriales.pdf</w:t>
        </w:r>
      </w:hyperlink>
      <w:r w:rsidDel="00000000" w:rsidR="00000000" w:rsidRPr="00000000">
        <w:rPr>
          <w:rtl w:val="0"/>
        </w:rPr>
      </w:r>
    </w:p>
    <w:p w:rsidR="00000000" w:rsidDel="00000000" w:rsidP="00000000" w:rsidRDefault="00000000" w:rsidRPr="00000000" w14:paraId="000000D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Habilitación digital provisoria de comercio - Escobar 360°, fecha de acceso: abril 26, 2026, </w:t>
      </w:r>
      <w:hyperlink r:id="rId62">
        <w:r w:rsidDel="00000000" w:rsidR="00000000" w:rsidRPr="00000000">
          <w:rPr>
            <w:rFonts w:ascii="Google Sans" w:cs="Google Sans" w:eastAsia="Google Sans" w:hAnsi="Google Sans"/>
            <w:color w:val="0000ee"/>
            <w:sz w:val="24"/>
            <w:szCs w:val="24"/>
            <w:u w:val="single"/>
            <w:rtl w:val="0"/>
          </w:rPr>
          <w:t xml:space="preserve">https://escobar360.escobar.gob.ar/servicio.aspx?ser_id=2028</w:t>
        </w:r>
      </w:hyperlink>
      <w:r w:rsidDel="00000000" w:rsidR="00000000" w:rsidRPr="00000000">
        <w:rPr>
          <w:rtl w:val="0"/>
        </w:rPr>
      </w:r>
    </w:p>
    <w:p w:rsidR="00000000" w:rsidDel="00000000" w:rsidP="00000000" w:rsidRDefault="00000000" w:rsidRPr="00000000" w14:paraId="000000D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Normativa ambiental de la provincia de Buenos Aires | Argentina.gob.ar, fecha de acceso: abril 26, 2026, </w:t>
      </w:r>
      <w:hyperlink r:id="rId63">
        <w:r w:rsidDel="00000000" w:rsidR="00000000" w:rsidRPr="00000000">
          <w:rPr>
            <w:rFonts w:ascii="Google Sans" w:cs="Google Sans" w:eastAsia="Google Sans" w:hAnsi="Google Sans"/>
            <w:color w:val="0000ee"/>
            <w:sz w:val="24"/>
            <w:szCs w:val="24"/>
            <w:u w:val="single"/>
            <w:rtl w:val="0"/>
          </w:rPr>
          <w:t xml:space="preserve">https://www.argentina.gob.ar/ciencia/agencia/normativa-ambiental-bsas</w:t>
        </w:r>
      </w:hyperlink>
      <w:r w:rsidDel="00000000" w:rsidR="00000000" w:rsidRPr="00000000">
        <w:rPr>
          <w:rtl w:val="0"/>
        </w:rPr>
      </w:r>
    </w:p>
    <w:p w:rsidR="00000000" w:rsidDel="00000000" w:rsidP="00000000" w:rsidRDefault="00000000" w:rsidRPr="00000000" w14:paraId="000000D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 Provincia crea un nuevo régimen para residuos industriales no especiales, fecha de acceso: abril 26, 2026, </w:t>
      </w:r>
      <w:hyperlink r:id="rId64">
        <w:r w:rsidDel="00000000" w:rsidR="00000000" w:rsidRPr="00000000">
          <w:rPr>
            <w:rFonts w:ascii="Google Sans" w:cs="Google Sans" w:eastAsia="Google Sans" w:hAnsi="Google Sans"/>
            <w:color w:val="0000ee"/>
            <w:sz w:val="24"/>
            <w:szCs w:val="24"/>
            <w:u w:val="single"/>
            <w:rtl w:val="0"/>
          </w:rPr>
          <w:t xml:space="preserve">https://www.ambito.com/informacion-general/la-provincia-crea-un-nuevo-regimen-residuos-industriales-no-especiales-n6267768</w:t>
        </w:r>
      </w:hyperlink>
      <w:r w:rsidDel="00000000" w:rsidR="00000000" w:rsidRPr="00000000">
        <w:rPr>
          <w:rtl w:val="0"/>
        </w:rPr>
      </w:r>
    </w:p>
    <w:p w:rsidR="00000000" w:rsidDel="00000000" w:rsidP="00000000" w:rsidRDefault="00000000" w:rsidRPr="00000000" w14:paraId="000000D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Buenos Aires – Aprobación del marco regulatorio aplicable a la gestión de los residuos industriales no especiales (RINE) – Resolución 60/2026. - Aristarain y Asociados, fecha de acceso: abril 26, 2026, </w:t>
      </w:r>
      <w:hyperlink r:id="rId65">
        <w:r w:rsidDel="00000000" w:rsidR="00000000" w:rsidRPr="00000000">
          <w:rPr>
            <w:rFonts w:ascii="Google Sans" w:cs="Google Sans" w:eastAsia="Google Sans" w:hAnsi="Google Sans"/>
            <w:color w:val="0000ee"/>
            <w:sz w:val="24"/>
            <w:szCs w:val="24"/>
            <w:u w:val="single"/>
            <w:rtl w:val="0"/>
          </w:rPr>
          <w:t xml:space="preserve">https://aristarain.com/buenos-aires-aprobacion-del-marco-regulatorio-aplicable-a-la-gestion-de-los-residuos-industriales-no-especiales-rine-resolucion-60-2026/</w:t>
        </w:r>
      </w:hyperlink>
      <w:r w:rsidDel="00000000" w:rsidR="00000000" w:rsidRPr="00000000">
        <w:rPr>
          <w:rtl w:val="0"/>
        </w:rPr>
      </w:r>
    </w:p>
    <w:p w:rsidR="00000000" w:rsidDel="00000000" w:rsidP="00000000" w:rsidRDefault="00000000" w:rsidRPr="00000000" w14:paraId="000000D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ANL Edición Especial 24/4 - Recursos Naturales - PAGBAM Abogados, fecha de acceso: abril 26, 2026, </w:t>
      </w:r>
      <w:hyperlink r:id="rId66">
        <w:r w:rsidDel="00000000" w:rsidR="00000000" w:rsidRPr="00000000">
          <w:rPr>
            <w:rFonts w:ascii="Google Sans" w:cs="Google Sans" w:eastAsia="Google Sans" w:hAnsi="Google Sans"/>
            <w:color w:val="0000ee"/>
            <w:sz w:val="24"/>
            <w:szCs w:val="24"/>
            <w:u w:val="single"/>
            <w:rtl w:val="0"/>
          </w:rPr>
          <w:t xml:space="preserve">https://pagbam.com/newsletter/anl-edicion-especial-24-4-recursos-naturales/</w:t>
        </w:r>
      </w:hyperlink>
      <w:r w:rsidDel="00000000" w:rsidR="00000000" w:rsidRPr="00000000">
        <w:rPr>
          <w:rtl w:val="0"/>
        </w:rPr>
      </w:r>
    </w:p>
    <w:p w:rsidR="00000000" w:rsidDel="00000000" w:rsidP="00000000" w:rsidRDefault="00000000" w:rsidRPr="00000000" w14:paraId="000000D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 Provincia crea un marco regulatorio para los Residuos Industriales No Especiales, fecha de acceso: abril 26, 2026, </w:t>
      </w:r>
      <w:hyperlink r:id="rId67">
        <w:r w:rsidDel="00000000" w:rsidR="00000000" w:rsidRPr="00000000">
          <w:rPr>
            <w:rFonts w:ascii="Google Sans" w:cs="Google Sans" w:eastAsia="Google Sans" w:hAnsi="Google Sans"/>
            <w:color w:val="0000ee"/>
            <w:sz w:val="24"/>
            <w:szCs w:val="24"/>
            <w:u w:val="single"/>
            <w:rtl w:val="0"/>
          </w:rPr>
          <w:t xml:space="preserve">https://www.ambiente.gba.gob.ar/noticias/la_provincia_crea_un_marco_regulatorio_para_los_residuos_industriales_no_especiales</w:t>
        </w:r>
      </w:hyperlink>
      <w:r w:rsidDel="00000000" w:rsidR="00000000" w:rsidRPr="00000000">
        <w:rPr>
          <w:rtl w:val="0"/>
        </w:rPr>
      </w:r>
    </w:p>
    <w:p w:rsidR="00000000" w:rsidDel="00000000" w:rsidP="00000000" w:rsidRDefault="00000000" w:rsidRPr="00000000" w14:paraId="000000D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Tendencias de packaging 2026 en alimentos y bebidas: cuando los datos y el cumplimiento definen la estrategia - The Food Tech, fecha de acceso: abril 26, 2026, </w:t>
      </w:r>
      <w:hyperlink r:id="rId68">
        <w:r w:rsidDel="00000000" w:rsidR="00000000" w:rsidRPr="00000000">
          <w:rPr>
            <w:rFonts w:ascii="Google Sans" w:cs="Google Sans" w:eastAsia="Google Sans" w:hAnsi="Google Sans"/>
            <w:color w:val="0000ee"/>
            <w:sz w:val="24"/>
            <w:szCs w:val="24"/>
            <w:u w:val="single"/>
            <w:rtl w:val="0"/>
          </w:rPr>
          <w:t xml:space="preserve">https://thefoodtech.com/packaging-y-procesamiento/tendencias-de-packaging-para-alimentos-y-bebidas-en-2026-datos-regulacion-y-transparencia/</w:t>
        </w:r>
      </w:hyperlink>
      <w:r w:rsidDel="00000000" w:rsidR="00000000" w:rsidRPr="00000000">
        <w:rPr>
          <w:rtl w:val="0"/>
        </w:rPr>
      </w:r>
    </w:p>
    <w:p w:rsidR="00000000" w:rsidDel="00000000" w:rsidP="00000000" w:rsidRDefault="00000000" w:rsidRPr="00000000" w14:paraId="000000D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Tendencias en packaging para la industria alimentaria en 2026 - Emo - emosa, fecha de acceso: abril 26, 2026, </w:t>
      </w:r>
      <w:hyperlink r:id="rId69">
        <w:r w:rsidDel="00000000" w:rsidR="00000000" w:rsidRPr="00000000">
          <w:rPr>
            <w:rFonts w:ascii="Google Sans" w:cs="Google Sans" w:eastAsia="Google Sans" w:hAnsi="Google Sans"/>
            <w:color w:val="0000ee"/>
            <w:sz w:val="24"/>
            <w:szCs w:val="24"/>
            <w:u w:val="single"/>
            <w:rtl w:val="0"/>
          </w:rPr>
          <w:t xml:space="preserve">https://www.emosa.com/tendencias-packaging-alimentario-2026/</w:t>
        </w:r>
      </w:hyperlink>
      <w:r w:rsidDel="00000000" w:rsidR="00000000" w:rsidRPr="00000000">
        <w:rPr>
          <w:rtl w:val="0"/>
        </w:rPr>
      </w:r>
    </w:p>
    <w:p w:rsidR="00000000" w:rsidDel="00000000" w:rsidP="00000000" w:rsidRDefault="00000000" w:rsidRPr="00000000" w14:paraId="000000D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Normativa Industria Alimentaria 2026: actualiza tus procesos con criterios sostenibles, fecha de acceso: abril 26, 2026, </w:t>
      </w:r>
      <w:hyperlink r:id="rId70">
        <w:r w:rsidDel="00000000" w:rsidR="00000000" w:rsidRPr="00000000">
          <w:rPr>
            <w:rFonts w:ascii="Google Sans" w:cs="Google Sans" w:eastAsia="Google Sans" w:hAnsi="Google Sans"/>
            <w:color w:val="0000ee"/>
            <w:sz w:val="24"/>
            <w:szCs w:val="24"/>
            <w:u w:val="single"/>
            <w:rtl w:val="0"/>
          </w:rPr>
          <w:t xml:space="preserve">https://papelmatic.com/blog/normativa-industria-alimentaria-2026-actualiza-tus-procesos-con-criterios-sostenibles/</w:t>
        </w:r>
      </w:hyperlink>
      <w:r w:rsidDel="00000000" w:rsidR="00000000" w:rsidRPr="00000000">
        <w:rPr>
          <w:rtl w:val="0"/>
        </w:rPr>
      </w:r>
    </w:p>
    <w:p w:rsidR="00000000" w:rsidDel="00000000" w:rsidP="00000000" w:rsidRDefault="00000000" w:rsidRPr="00000000" w14:paraId="000000D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Packaging sostenible 2026: materiales y reciclabilidad | UDIT, fecha de acceso: abril 26, 2026, </w:t>
      </w:r>
      <w:hyperlink r:id="rId71">
        <w:r w:rsidDel="00000000" w:rsidR="00000000" w:rsidRPr="00000000">
          <w:rPr>
            <w:rFonts w:ascii="Google Sans" w:cs="Google Sans" w:eastAsia="Google Sans" w:hAnsi="Google Sans"/>
            <w:color w:val="0000ee"/>
            <w:sz w:val="24"/>
            <w:szCs w:val="24"/>
            <w:u w:val="single"/>
            <w:rtl w:val="0"/>
          </w:rPr>
          <w:t xml:space="preserve">https://www.udit.es/packaging-sostenible-como-elegir-materiales-y-cumplir-con-la-normativa/</w:t>
        </w:r>
      </w:hyperlink>
      <w:r w:rsidDel="00000000" w:rsidR="00000000" w:rsidRPr="00000000">
        <w:rPr>
          <w:rtl w:val="0"/>
        </w:rPr>
      </w:r>
    </w:p>
    <w:p w:rsidR="00000000" w:rsidDel="00000000" w:rsidP="00000000" w:rsidRDefault="00000000" w:rsidRPr="00000000" w14:paraId="000000D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¿Actualización a FSSC V6? Esto es lo que necesita saber - NSF, fecha de acceso: abril 26, 2026, </w:t>
      </w:r>
      <w:hyperlink r:id="rId72">
        <w:r w:rsidDel="00000000" w:rsidR="00000000" w:rsidRPr="00000000">
          <w:rPr>
            <w:rFonts w:ascii="Google Sans" w:cs="Google Sans" w:eastAsia="Google Sans" w:hAnsi="Google Sans"/>
            <w:color w:val="0000ee"/>
            <w:sz w:val="24"/>
            <w:szCs w:val="24"/>
            <w:u w:val="single"/>
            <w:rtl w:val="0"/>
          </w:rPr>
          <w:t xml:space="preserve">https://www.nsf.org/mx/es/biblioteca-conocimientos/actualizacion-fssc-v6</w:t>
        </w:r>
      </w:hyperlink>
      <w:r w:rsidDel="00000000" w:rsidR="00000000" w:rsidRPr="00000000">
        <w:rPr>
          <w:rtl w:val="0"/>
        </w:rPr>
      </w:r>
    </w:p>
    <w:p w:rsidR="00000000" w:rsidDel="00000000" w:rsidP="00000000" w:rsidRDefault="00000000" w:rsidRPr="00000000" w14:paraId="000000D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Campaña de trigo 2026: suben los costos, caen los márgenes y crece la incertidumbre en el campo - Camponoticias, fecha de acceso: abril 26, 2026, </w:t>
      </w:r>
      <w:hyperlink r:id="rId73">
        <w:r w:rsidDel="00000000" w:rsidR="00000000" w:rsidRPr="00000000">
          <w:rPr>
            <w:rFonts w:ascii="Google Sans" w:cs="Google Sans" w:eastAsia="Google Sans" w:hAnsi="Google Sans"/>
            <w:color w:val="0000ee"/>
            <w:sz w:val="24"/>
            <w:szCs w:val="24"/>
            <w:u w:val="single"/>
            <w:rtl w:val="0"/>
          </w:rPr>
          <w:t xml:space="preserve">https://camponoticias.com/contenido/4632/campana-de-trigo-2026-suben-los-costos-caen-los-margenes-y-crece-la-incertidumbr</w:t>
        </w:r>
      </w:hyperlink>
      <w:r w:rsidDel="00000000" w:rsidR="00000000" w:rsidRPr="00000000">
        <w:rPr>
          <w:rtl w:val="0"/>
        </w:rPr>
      </w:r>
    </w:p>
    <w:p w:rsidR="00000000" w:rsidDel="00000000" w:rsidP="00000000" w:rsidRDefault="00000000" w:rsidRPr="00000000" w14:paraId="000000E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Ecofield - Provincias - Buenos Aires, Argentina - - Ecofield Legal, fecha de acceso: abril 26, 2026, </w:t>
      </w:r>
      <w:hyperlink r:id="rId74">
        <w:r w:rsidDel="00000000" w:rsidR="00000000" w:rsidRPr="00000000">
          <w:rPr>
            <w:rFonts w:ascii="Google Sans" w:cs="Google Sans" w:eastAsia="Google Sans" w:hAnsi="Google Sans"/>
            <w:color w:val="0000ee"/>
            <w:sz w:val="24"/>
            <w:szCs w:val="24"/>
            <w:u w:val="single"/>
            <w:rtl w:val="0"/>
          </w:rPr>
          <w:t xml:space="preserve">https://www.ecofield.net/Legales/BsAs/res60-26_MA_BA.htm</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smiba.org.ar/curso_medico_especialista/lecturas_2022/Diagn%C3%B3stico%20de%20trastornos%20relacionados%20con%20el%20gluten.pdf" TargetMode="External"/><Relationship Id="rId42" Type="http://schemas.openxmlformats.org/officeDocument/2006/relationships/hyperlink" Target="https://thefoodtech.com/soluciones-y-tecnologia-alimentaria/panificacion-20252026-ciencia-frescura-y-nutricion-avanzada/" TargetMode="External"/><Relationship Id="rId41" Type="http://schemas.openxmlformats.org/officeDocument/2006/relationships/hyperlink" Target="https://www.kantar.com/latin-america/inspiracion/consumo-masivo/2025/tendencias-en-la-nutricion-de-los-consumidores-en-argentina" TargetMode="External"/><Relationship Id="rId44" Type="http://schemas.openxmlformats.org/officeDocument/2006/relationships/hyperlink" Target="https://www.fortunebusinessinsights.com/es/industry-reports/gluten-free-food-market-100188" TargetMode="External"/><Relationship Id="rId43" Type="http://schemas.openxmlformats.org/officeDocument/2006/relationships/hyperlink" Target="https://www.alifarma.com/publicaciones/como-mejorar-la-ternura-e-incrementar-la-vida-util-en-productos-de-panaderia-y-pasteleria-industrial/" TargetMode="External"/><Relationship Id="rId46" Type="http://schemas.openxmlformats.org/officeDocument/2006/relationships/hyperlink" Target="https://www.revistasan.org.ar/articulo_html.php?ida=2024_25_3_137" TargetMode="External"/><Relationship Id="rId45" Type="http://schemas.openxmlformats.org/officeDocument/2006/relationships/hyperlink" Target="https://www.revistasan.org.ar/articulo_html.php?ida=2025_26_1_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ormosa.gob.ar/noticia/15095/42/obras_sociales_y_prepagas_obligadas_a_brindar_a_cada_celiaco_una_cobertura_de__240_por_mes" TargetMode="External"/><Relationship Id="rId48" Type="http://schemas.openxmlformats.org/officeDocument/2006/relationships/hyperlink" Target="https://www.gminsights.com/es/industry-analysis/food-hydrocolloids-market" TargetMode="External"/><Relationship Id="rId47" Type="http://schemas.openxmlformats.org/officeDocument/2006/relationships/hyperlink" Target="https://www.udlap.mx/TSIA/assets/files/volumen2-1/TSIA-Vol2-No1-Cano-Montiel-2008a.pdf" TargetMode="External"/><Relationship Id="rId49" Type="http://schemas.openxmlformats.org/officeDocument/2006/relationships/hyperlink" Target="https://www.iff.com/media/stories/fortaleciendo-la-masa-en-panificacion-industrial-soluciones-enzimaticas-que-marcan-la-diferencia/" TargetMode="External"/><Relationship Id="rId5" Type="http://schemas.openxmlformats.org/officeDocument/2006/relationships/styles" Target="styles.xml"/><Relationship Id="rId6" Type="http://schemas.openxmlformats.org/officeDocument/2006/relationships/hyperlink" Target="https://alimentosargentinos.magyp.gob.ar/contenido/marco/CAA/capitulospdf/Capitulo_IX.pdf" TargetMode="External"/><Relationship Id="rId7" Type="http://schemas.openxmlformats.org/officeDocument/2006/relationships/hyperlink" Target="http://www.anmat.gob.ar/Alimentos/Guia_BPM_ALG_formato_Web.pdf" TargetMode="External"/><Relationship Id="rId8" Type="http://schemas.openxmlformats.org/officeDocument/2006/relationships/hyperlink" Target="https://www.anmat.gob.ar/webanmat/formularios/guia_alimentos.asp" TargetMode="External"/><Relationship Id="rId73" Type="http://schemas.openxmlformats.org/officeDocument/2006/relationships/hyperlink" Target="https://camponoticias.com/contenido/4632/campana-de-trigo-2026-suben-los-costos-caen-los-margenes-y-crece-la-incertidumbr" TargetMode="External"/><Relationship Id="rId72" Type="http://schemas.openxmlformats.org/officeDocument/2006/relationships/hyperlink" Target="https://www.nsf.org/mx/es/biblioteca-conocimientos/actualizacion-fssc-v6" TargetMode="External"/><Relationship Id="rId31" Type="http://schemas.openxmlformats.org/officeDocument/2006/relationships/hyperlink" Target="https://noticiasargentinas.com/economia/consumo-en-mutacion--leve-repunte--caida-en-supermercados-y-giro-hacia-compras-de-cercania_a69ecc3c67825f88153e1bffa" TargetMode="External"/><Relationship Id="rId30" Type="http://schemas.openxmlformats.org/officeDocument/2006/relationships/hyperlink" Target="https://cholilaonline.ar/2026/04/adios-al-chango-lleno-el-nuevo-mapa-del-consumo-en-argentina-prioriza-el-gasto-diario.html" TargetMode="External"/><Relationship Id="rId74" Type="http://schemas.openxmlformats.org/officeDocument/2006/relationships/hyperlink" Target="https://www.ecofield.net/Legales/BsAs/res60-26_MA_BA.htm" TargetMode="External"/><Relationship Id="rId33" Type="http://schemas.openxmlformats.org/officeDocument/2006/relationships/hyperlink" Target="https://www.conclusion.com.ar/politica/economia/consumo-masivo-ante-la-perdida-de-poder-adquisitivo-caen-las-compras-en-supermercados-y-se-acentuan-los-comercios-de-cercania/04/2026/" TargetMode="External"/><Relationship Id="rId32" Type="http://schemas.openxmlformats.org/officeDocument/2006/relationships/hyperlink" Target="https://www.infobae.com/economia/2026/03/30/consumo-en-baja-los-hogares-argentinos-compran-menos-y-eligen-cada-vez-mas-marcas-economicas/" TargetMode="External"/><Relationship Id="rId35" Type="http://schemas.openxmlformats.org/officeDocument/2006/relationships/hyperlink" Target="https://www.infocampo.com.ar/precio-del-trigo-hoy-21-abril-2026/" TargetMode="External"/><Relationship Id="rId34" Type="http://schemas.openxmlformats.org/officeDocument/2006/relationships/hyperlink" Target="https://informatesalta.com.ar/economia/consumo-masivo-en-argentina--de-la-compra-mensual-al-control-diario-del-gasto_a69ecf10df677f0d145bd8128" TargetMode="External"/><Relationship Id="rId71" Type="http://schemas.openxmlformats.org/officeDocument/2006/relationships/hyperlink" Target="https://www.udit.es/packaging-sostenible-como-elegir-materiales-y-cumplir-con-la-normativa/" TargetMode="External"/><Relationship Id="rId70" Type="http://schemas.openxmlformats.org/officeDocument/2006/relationships/hyperlink" Target="https://papelmatic.com/blog/normativa-industria-alimentaria-2026-actualiza-tus-procesos-con-criterios-sostenibles/" TargetMode="External"/><Relationship Id="rId37" Type="http://schemas.openxmlformats.org/officeDocument/2006/relationships/hyperlink" Target="https://listado.mercadolibre.com.ar/bolsa-de-harina-25-kg" TargetMode="External"/><Relationship Id="rId36" Type="http://schemas.openxmlformats.org/officeDocument/2006/relationships/hyperlink" Target="https://www.mayoristadelegumbres.com.ar/producto/harina-de-arroz-x-25-kg/" TargetMode="External"/><Relationship Id="rId39" Type="http://schemas.openxmlformats.org/officeDocument/2006/relationships/hyperlink" Target="https://www.trades-sa.com/tendencias/alimentacion-funcional-2026/" TargetMode="External"/><Relationship Id="rId38" Type="http://schemas.openxmlformats.org/officeDocument/2006/relationships/hyperlink" Target="https://thefoodtech.com/soluciones-y-tecnologia-alimentaria/optimizacion-de-procesos-en-panificacion-como-bajar-mermas-energia-y-variabilidad-sin-comprometer-inocuidad-/" TargetMode="External"/><Relationship Id="rId62" Type="http://schemas.openxmlformats.org/officeDocument/2006/relationships/hyperlink" Target="https://escobar360.escobar.gob.ar/servicio.aspx?ser_id=2028" TargetMode="External"/><Relationship Id="rId61" Type="http://schemas.openxmlformats.org/officeDocument/2006/relationships/hyperlink" Target="https://www.ambiente.gba.gob.ar/sites/default/files/instructivos/Orientador%20solicitud%20del%20CAA%20Agrupamientos%20Industriales.pdf" TargetMode="External"/><Relationship Id="rId20" Type="http://schemas.openxmlformats.org/officeDocument/2006/relationships/hyperlink" Target="http://www.legisalud.gov.ar/pdf/anmatdis11362_2024anexo.pdf" TargetMode="External"/><Relationship Id="rId64" Type="http://schemas.openxmlformats.org/officeDocument/2006/relationships/hyperlink" Target="https://www.ambito.com/informacion-general/la-provincia-crea-un-nuevo-regimen-residuos-industriales-no-especiales-n6267768" TargetMode="External"/><Relationship Id="rId63" Type="http://schemas.openxmlformats.org/officeDocument/2006/relationships/hyperlink" Target="https://www.argentina.gob.ar/ciencia/agencia/normativa-ambiental-bsas" TargetMode="External"/><Relationship Id="rId22" Type="http://schemas.openxmlformats.org/officeDocument/2006/relationships/hyperlink" Target="https://servicios.infoleg.gob.ar/infolegInternet/anexos/360000-364999/362577/norma.htm" TargetMode="External"/><Relationship Id="rId66" Type="http://schemas.openxmlformats.org/officeDocument/2006/relationships/hyperlink" Target="https://pagbam.com/newsletter/anl-edicion-especial-24-4-recursos-naturales/" TargetMode="External"/><Relationship Id="rId21" Type="http://schemas.openxmlformats.org/officeDocument/2006/relationships/hyperlink" Target="https://www.fagran.org.ar/wp-content/uploads/2025/04/Ley-PAS-Analisis-sobre-las-nuevas-disposiciones-de-la-ANMAT.pdf" TargetMode="External"/><Relationship Id="rId65" Type="http://schemas.openxmlformats.org/officeDocument/2006/relationships/hyperlink" Target="https://aristarain.com/buenos-aires-aprobacion-del-marco-regulatorio-aplicable-a-la-gestion-de-los-residuos-industriales-no-especiales-rine-resolucion-60-2026/" TargetMode="External"/><Relationship Id="rId24" Type="http://schemas.openxmlformats.org/officeDocument/2006/relationships/hyperlink" Target="https://documento.errepar.com/actualidad/rimi-se-reglamento-el-acceso-a-beneficios-fiscales-para-pymes-20260413123319223" TargetMode="External"/><Relationship Id="rId68" Type="http://schemas.openxmlformats.org/officeDocument/2006/relationships/hyperlink" Target="https://thefoodtech.com/packaging-y-procesamiento/tendencias-de-packaging-para-alimentos-y-bebidas-en-2026-datos-regulacion-y-transparencia/" TargetMode="External"/><Relationship Id="rId23" Type="http://schemas.openxmlformats.org/officeDocument/2006/relationships/hyperlink" Target="https://www.argentina.gob.ar/noticias/el-gobierno-nacional-extiende-beneficios-fiscales-para-microempresas-durante-2026" TargetMode="External"/><Relationship Id="rId67" Type="http://schemas.openxmlformats.org/officeDocument/2006/relationships/hyperlink" Target="https://www.ambiente.gba.gob.ar/noticias/la_provincia_crea_un_marco_regulatorio_para_los_residuos_industriales_no_especiales" TargetMode="External"/><Relationship Id="rId60" Type="http://schemas.openxmlformats.org/officeDocument/2006/relationships/hyperlink" Target="https://formaspackgroup.com/5-tendencias-clave-que-van-a-marcar-la-industria-del-packaging-alimentario-este-2026/" TargetMode="External"/><Relationship Id="rId26" Type="http://schemas.openxmlformats.org/officeDocument/2006/relationships/hyperlink" Target="https://www.eldestapeweb.com/economia/economia-partida-se-consolida-el-ajuste-en-consumo-masivo-mientras-los-de-arriba-aceleran-el-gasto-premium-2026425135423" TargetMode="External"/><Relationship Id="rId25" Type="http://schemas.openxmlformats.org/officeDocument/2006/relationships/hyperlink" Target="https://fussionconsultora.com/2026/04/rimi-2026-beneficios-fiscales-para-pymes-en-espera-de-reglamentacion/" TargetMode="External"/><Relationship Id="rId69" Type="http://schemas.openxmlformats.org/officeDocument/2006/relationships/hyperlink" Target="https://www.emosa.com/tendencias-packaging-alimentario-2026/" TargetMode="External"/><Relationship Id="rId28" Type="http://schemas.openxmlformats.org/officeDocument/2006/relationships/hyperlink" Target="https://www.rionegro.com.ar/economia/inflacion-de-abril-2026-senales-de-desaceleracion-en-alimentos-moderan-el-indice-pero-la-nucleo-sigue-alta-4547575/" TargetMode="External"/><Relationship Id="rId27" Type="http://schemas.openxmlformats.org/officeDocument/2006/relationships/hyperlink" Target="https://www.ambito.com/economia/se-consolidan-tendencias-consumo-se-destinan-mas-transporte-servicios-y-comercios-cercania-n6270859" TargetMode="External"/><Relationship Id="rId29" Type="http://schemas.openxmlformats.org/officeDocument/2006/relationships/hyperlink" Target="https://www.infobae.com/economia/2026/04/23/el-consumo-masivo-volvio-a-caer-fuerte-en-marzo-y-no-se-esperan-mejoras-este-ano-que-comercios-son-los-mas-afectados/" TargetMode="External"/><Relationship Id="rId51" Type="http://schemas.openxmlformats.org/officeDocument/2006/relationships/hyperlink" Target="https://www.dsm-firmenich.com/es-mx/businesses/taste-texture-health/news-events/articles/baking/building-a-better-baking-future.html" TargetMode="External"/><Relationship Id="rId50" Type="http://schemas.openxmlformats.org/officeDocument/2006/relationships/hyperlink" Target="https://www.dsm-firmenich.com/es-mx/businesses/taste-texture-health/news-events/press-releases/archive/2017-06-15-dsm-launches-new-enzyme-solutions-at-ift17-to-improve-softness-and-moistness-of-gluten-free-bread.html" TargetMode="External"/><Relationship Id="rId53" Type="http://schemas.openxmlformats.org/officeDocument/2006/relationships/hyperlink" Target="https://ar.airliquide.com/envasado" TargetMode="External"/><Relationship Id="rId52" Type="http://schemas.openxmlformats.org/officeDocument/2006/relationships/hyperlink" Target="https://static.prd.echannel.linde.com/wcsstore/ES_RES_Industrial_Gas_Store/Attachment/PDF/MAPAX-Garantizar-la-frescura-de-los-alimentos-12029-0912.pdf" TargetMode="External"/><Relationship Id="rId11" Type="http://schemas.openxmlformats.org/officeDocument/2006/relationships/hyperlink" Target="https://gualeguaychu.gov.ar/redaccion/alimentos-libres-de-gluten:-importancia-del-uso-responsable-del-simbolo-%E2%80%9Csin-tacc%E2%80%9D--y-el-cumplimiento-con-la-normativa-vigente" TargetMode="External"/><Relationship Id="rId55" Type="http://schemas.openxmlformats.org/officeDocument/2006/relationships/hyperlink" Target="https://www.madrimasd.org/sites/default/files/informacionidi/biblioteca/publicacion/doc/VT/vt3_tecnologias_de_envasado_en_atmosfera_protectora.pdf" TargetMode="External"/><Relationship Id="rId10" Type="http://schemas.openxmlformats.org/officeDocument/2006/relationships/hyperlink" Target="https://gluten.org/wp-content/uploads/2020/04/EDU_Non-Dedicated-Kitchen-Spanish.pdf" TargetMode="External"/><Relationship Id="rId54" Type="http://schemas.openxmlformats.org/officeDocument/2006/relationships/hyperlink" Target="https://alimentosargentinos.magyp.gob.ar/HomeAlimentos/documentos/Atmosferas.pdf" TargetMode="External"/><Relationship Id="rId13" Type="http://schemas.openxmlformats.org/officeDocument/2006/relationships/hyperlink" Target="https://formosa.gob.ar/noticia/13621/211/obras_sociales_y_prepagas_deberan_subsidiar_a_los_pacientes_celiacos" TargetMode="External"/><Relationship Id="rId57" Type="http://schemas.openxmlformats.org/officeDocument/2006/relationships/hyperlink" Target="https://www.bioser.com/blog/fssc-22000-version-6-v6-nueva-version-del-estandar-fssc/" TargetMode="External"/><Relationship Id="rId12" Type="http://schemas.openxmlformats.org/officeDocument/2006/relationships/hyperlink" Target="https://www.argentina.gob.ar/anmat/alg" TargetMode="External"/><Relationship Id="rId56" Type="http://schemas.openxmlformats.org/officeDocument/2006/relationships/hyperlink" Target="https://tecoal.net/normas-de-calidad/fssc-22000-version-6-principales-cambios-y-nuevos-requisitos-para-la-industria-alimentaria/" TargetMode="External"/><Relationship Id="rId15" Type="http://schemas.openxmlformats.org/officeDocument/2006/relationships/hyperlink" Target="https://www.argentina.gob.ar/sssalud/usuarios/celiaquia" TargetMode="External"/><Relationship Id="rId59" Type="http://schemas.openxmlformats.org/officeDocument/2006/relationships/hyperlink" Target="https://indicadores.ar/articulo/alerta-industrial-buenos-aires-endurece-el-control-de-residuos-peligrosos-17725" TargetMode="External"/><Relationship Id="rId14" Type="http://schemas.openxmlformats.org/officeDocument/2006/relationships/hyperlink" Target="https://servicios.infoleg.gob.ar/infolegInternet/anexos/205000-209999/206483/norma.htm" TargetMode="External"/><Relationship Id="rId58" Type="http://schemas.openxmlformats.org/officeDocument/2006/relationships/hyperlink" Target="https://www.fssc.com/wp-content/uploads/2023/03/Guidance-Document-Food-Safety-and-Quality-Culture-V6_ES.pdf" TargetMode="External"/><Relationship Id="rId17" Type="http://schemas.openxmlformats.org/officeDocument/2006/relationships/hyperlink" Target="https://acyma.org.ar/una-buena-noticia-obras-sociales-y-empresas-de-medicina-prepaga-deberan-aumentar-el-monto-de-cobertura-por-alimentos-para-consumidores-celiacos-y-actualizarlo-periodicamente/" TargetMode="External"/><Relationship Id="rId16" Type="http://schemas.openxmlformats.org/officeDocument/2006/relationships/hyperlink" Target="https://www.argentina.gob.ar/salud/nueva-actualizacion-del-monto-cubrir-por-obras-sociales-y-prepagas" TargetMode="External"/><Relationship Id="rId19" Type="http://schemas.openxmlformats.org/officeDocument/2006/relationships/hyperlink" Target="https://www.argentina.gob.ar/justicia/derechofacil/leysimple/salud/ley-de-etiquetado-frontal" TargetMode="External"/><Relationship Id="rId18" Type="http://schemas.openxmlformats.org/officeDocument/2006/relationships/hyperlink" Target="https://www.ms.gba.gov.ar/sitios/alimentacionsaludable/ley-de-etiquetado-fronta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