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118A" w14:textId="1D38552E" w:rsidR="00096451" w:rsidRPr="000C59EC" w:rsidRDefault="00757DCB" w:rsidP="007F36A0">
      <w:pPr>
        <w:spacing w:after="200"/>
        <w:ind w:left="1416" w:firstLine="708"/>
        <w:rPr>
          <w:rFonts w:asciiTheme="minorHAnsi" w:hAnsiTheme="minorHAnsi"/>
        </w:rPr>
      </w:pPr>
      <w:r>
        <w:rPr>
          <w:rFonts w:asciiTheme="minorHAnsi" w:hAnsiTheme="minorHAnsi"/>
          <w:b/>
          <w:bCs/>
          <w:sz w:val="40"/>
          <w:szCs w:val="40"/>
        </w:rPr>
        <w:t xml:space="preserve">    </w:t>
      </w:r>
      <w:r w:rsidRPr="000C59EC">
        <w:rPr>
          <w:rFonts w:asciiTheme="minorHAnsi" w:hAnsiTheme="minorHAnsi"/>
          <w:b/>
          <w:bCs/>
          <w:sz w:val="40"/>
          <w:szCs w:val="40"/>
        </w:rPr>
        <w:t>TRABAJO PRÁCTICO N°1</w:t>
      </w:r>
    </w:p>
    <w:p w14:paraId="7C26118B" w14:textId="77777777" w:rsidR="00096451" w:rsidRPr="000C59EC" w:rsidRDefault="00757DCB">
      <w:pPr>
        <w:spacing w:after="200"/>
        <w:jc w:val="center"/>
        <w:rPr>
          <w:rFonts w:asciiTheme="minorHAnsi" w:hAnsiTheme="minorHAnsi"/>
        </w:rPr>
      </w:pPr>
      <w:r w:rsidRPr="000C59EC">
        <w:rPr>
          <w:rFonts w:asciiTheme="minorHAnsi" w:hAnsiTheme="minorHAnsi"/>
          <w:b/>
          <w:bCs/>
          <w:sz w:val="36"/>
          <w:szCs w:val="36"/>
        </w:rPr>
        <w:t>Localización de Plantas</w:t>
      </w:r>
    </w:p>
    <w:p w14:paraId="7C26118C" w14:textId="77777777" w:rsidR="00096451" w:rsidRPr="000C59EC" w:rsidRDefault="00096451">
      <w:pPr>
        <w:spacing w:before="200"/>
        <w:rPr>
          <w:rFonts w:asciiTheme="minorHAnsi" w:hAnsiTheme="minorHAnsi"/>
        </w:rPr>
      </w:pPr>
    </w:p>
    <w:p w14:paraId="7C26118D" w14:textId="69126696" w:rsidR="00096451" w:rsidRPr="000C59EC" w:rsidRDefault="002B3FAA">
      <w:pPr>
        <w:jc w:val="center"/>
        <w:rPr>
          <w:rFonts w:asciiTheme="minorHAnsi" w:hAnsiTheme="minorHAnsi"/>
          <w:b/>
          <w:bCs/>
        </w:rPr>
      </w:pPr>
      <w:r w:rsidRPr="000C59EC">
        <w:rPr>
          <w:rFonts w:asciiTheme="minorHAnsi" w:hAnsiTheme="minorHAnsi"/>
          <w:b/>
          <w:bCs/>
          <w:noProof/>
          <w:color w:val="0070C0"/>
          <w:sz w:val="28"/>
          <w:szCs w:val="28"/>
          <w:bdr w:val="none" w:sz="0" w:space="0" w:color="auto" w:frame="1"/>
        </w:rPr>
        <w:drawing>
          <wp:anchor distT="0" distB="0" distL="114300" distR="114300" simplePos="0" relativeHeight="251658240" behindDoc="0" locked="0" layoutInCell="1" allowOverlap="1" wp14:anchorId="5389E6F6" wp14:editId="5941D4E1">
            <wp:simplePos x="0" y="0"/>
            <wp:positionH relativeFrom="margin">
              <wp:posOffset>1942350</wp:posOffset>
            </wp:positionH>
            <wp:positionV relativeFrom="margin">
              <wp:posOffset>1232766</wp:posOffset>
            </wp:positionV>
            <wp:extent cx="2112645" cy="2119630"/>
            <wp:effectExtent l="0" t="0" r="0" b="0"/>
            <wp:wrapTopAndBottom/>
            <wp:docPr id="1238538781" name="Imagen 5"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8781" name="Imagen 5" descr="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2645" cy="2119630"/>
                    </a:xfrm>
                    <a:prstGeom prst="rect">
                      <a:avLst/>
                    </a:prstGeom>
                    <a:noFill/>
                    <a:ln>
                      <a:noFill/>
                    </a:ln>
                  </pic:spPr>
                </pic:pic>
              </a:graphicData>
            </a:graphic>
          </wp:anchor>
        </w:drawing>
      </w:r>
      <w:r w:rsidR="00757DCB" w:rsidRPr="000C59EC">
        <w:rPr>
          <w:rFonts w:asciiTheme="minorHAnsi" w:hAnsiTheme="minorHAnsi"/>
          <w:b/>
          <w:bCs/>
          <w:color w:val="555555"/>
          <w:sz w:val="26"/>
          <w:szCs w:val="26"/>
        </w:rPr>
        <w:t>Grupo 3</w:t>
      </w:r>
    </w:p>
    <w:p w14:paraId="7C26118F" w14:textId="10B7750E" w:rsidR="00096451" w:rsidRPr="000C59EC" w:rsidRDefault="007F36A0" w:rsidP="002B3FAA">
      <w:pPr>
        <w:spacing w:before="240" w:line="360" w:lineRule="auto"/>
        <w:rPr>
          <w:rFonts w:asciiTheme="minorHAnsi" w:hAnsiTheme="minorHAnsi"/>
          <w:b/>
          <w:bCs/>
          <w:sz w:val="24"/>
          <w:szCs w:val="24"/>
        </w:rPr>
      </w:pPr>
      <w:r w:rsidRPr="000C59EC">
        <w:rPr>
          <w:rFonts w:asciiTheme="minorHAnsi" w:hAnsiTheme="minorHAnsi"/>
          <w:b/>
          <w:bCs/>
          <w:sz w:val="24"/>
          <w:szCs w:val="24"/>
        </w:rPr>
        <w:t>Integrantes</w:t>
      </w:r>
    </w:p>
    <w:p w14:paraId="35A3302C" w14:textId="77777777" w:rsidR="009B59A5" w:rsidRPr="000C59EC" w:rsidRDefault="009B59A5" w:rsidP="009B59A5">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Brenda Rodriguez</w:t>
      </w:r>
    </w:p>
    <w:p w14:paraId="7EB0337B" w14:textId="77777777" w:rsidR="009B59A5" w:rsidRPr="000C59EC" w:rsidRDefault="009B59A5" w:rsidP="009B59A5">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Cristian Obon</w:t>
      </w:r>
    </w:p>
    <w:p w14:paraId="0D2B4F36" w14:textId="77777777" w:rsidR="009B59A5" w:rsidRPr="000C59EC" w:rsidRDefault="009B59A5" w:rsidP="009B59A5">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Javier Lazo</w:t>
      </w:r>
    </w:p>
    <w:p w14:paraId="7A20E84A" w14:textId="77777777" w:rsidR="009B59A5" w:rsidRPr="000C59EC" w:rsidRDefault="009B59A5" w:rsidP="009B59A5">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Mateo Albarracin</w:t>
      </w:r>
    </w:p>
    <w:p w14:paraId="10CD1C4E" w14:textId="77777777" w:rsidR="002B3FAA" w:rsidRPr="000C59EC" w:rsidRDefault="002B3FAA" w:rsidP="002B3FAA">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Silvina Arakaki</w:t>
      </w:r>
    </w:p>
    <w:p w14:paraId="153CC6CE" w14:textId="77777777" w:rsidR="009B59A5" w:rsidRPr="000C59EC" w:rsidRDefault="009B59A5" w:rsidP="009B59A5">
      <w:pPr>
        <w:pStyle w:val="Prrafodelista"/>
        <w:numPr>
          <w:ilvl w:val="0"/>
          <w:numId w:val="2"/>
        </w:numPr>
        <w:spacing w:before="240"/>
        <w:rPr>
          <w:rFonts w:asciiTheme="minorHAnsi" w:hAnsiTheme="minorHAnsi"/>
          <w:sz w:val="24"/>
          <w:szCs w:val="24"/>
        </w:rPr>
      </w:pPr>
      <w:r w:rsidRPr="000C59EC">
        <w:rPr>
          <w:rFonts w:asciiTheme="minorHAnsi" w:hAnsiTheme="minorHAnsi"/>
          <w:sz w:val="24"/>
          <w:szCs w:val="24"/>
        </w:rPr>
        <w:t>Victor Gauto</w:t>
      </w:r>
    </w:p>
    <w:p w14:paraId="71332D74" w14:textId="77777777" w:rsidR="007F36A0" w:rsidRPr="000C59EC" w:rsidRDefault="007F36A0">
      <w:pPr>
        <w:spacing w:before="1000"/>
        <w:rPr>
          <w:rFonts w:asciiTheme="minorHAnsi" w:hAnsiTheme="minorHAnsi"/>
        </w:rPr>
      </w:pPr>
    </w:p>
    <w:p w14:paraId="3229BD04" w14:textId="77777777" w:rsidR="002B3FAA" w:rsidRPr="000C59EC" w:rsidRDefault="002B3FAA">
      <w:pPr>
        <w:spacing w:before="1000"/>
        <w:rPr>
          <w:rFonts w:asciiTheme="minorHAnsi" w:hAnsiTheme="minorHAnsi"/>
        </w:rPr>
      </w:pPr>
    </w:p>
    <w:p w14:paraId="25554FAB" w14:textId="77777777" w:rsidR="002B3FAA" w:rsidRPr="000C59EC" w:rsidRDefault="002B3FAA">
      <w:pPr>
        <w:spacing w:before="1000"/>
        <w:rPr>
          <w:rFonts w:asciiTheme="minorHAnsi" w:hAnsiTheme="minorHAnsi"/>
        </w:rPr>
      </w:pPr>
    </w:p>
    <w:p w14:paraId="7C261191" w14:textId="77777777" w:rsidR="00096451" w:rsidRPr="00D103EF" w:rsidRDefault="00757DCB">
      <w:pPr>
        <w:pStyle w:val="Ttulo1"/>
        <w:rPr>
          <w:rFonts w:asciiTheme="minorHAnsi" w:hAnsiTheme="minorHAnsi"/>
          <w:color w:val="auto"/>
        </w:rPr>
      </w:pPr>
      <w:r w:rsidRPr="00D103EF">
        <w:rPr>
          <w:rFonts w:asciiTheme="minorHAnsi" w:hAnsiTheme="minorHAnsi"/>
          <w:color w:val="auto"/>
        </w:rPr>
        <w:t>1. Introducción</w:t>
      </w:r>
    </w:p>
    <w:p w14:paraId="7C261192" w14:textId="76EAAF33"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presente trabajo tiene por objeto determinar la localización óptima para la instalación de una planta productora de cucharas de colada, destinadas al abastecimiento de tres clientes del sector siderúrgico: Metcon (San Nicolás, Buenos Aires), Altos Hornos Zapla (Palpalá, Jujuy) y Acerbrag (Bragado, Buenos Aires). Para ello se evaluaron tres alternativas de localización: </w:t>
      </w:r>
      <w:r w:rsidRPr="000C59EC">
        <w:rPr>
          <w:rFonts w:asciiTheme="minorHAnsi" w:hAnsiTheme="minorHAnsi"/>
          <w:b/>
          <w:bCs/>
        </w:rPr>
        <w:t>San Nicolás</w:t>
      </w:r>
      <w:r w:rsidRPr="000C59EC">
        <w:rPr>
          <w:rFonts w:asciiTheme="minorHAnsi" w:hAnsiTheme="minorHAnsi"/>
          <w:b/>
          <w:bCs/>
        </w:rPr>
        <w:t xml:space="preserve"> (Buenos Aires)</w:t>
      </w:r>
      <w:r w:rsidRPr="000C59EC">
        <w:rPr>
          <w:rFonts w:asciiTheme="minorHAnsi" w:hAnsiTheme="minorHAnsi"/>
        </w:rPr>
        <w:t xml:space="preserve">, </w:t>
      </w:r>
      <w:r w:rsidRPr="000C59EC">
        <w:rPr>
          <w:rFonts w:asciiTheme="minorHAnsi" w:hAnsiTheme="minorHAnsi"/>
          <w:b/>
          <w:bCs/>
        </w:rPr>
        <w:t>Alberdi</w:t>
      </w:r>
      <w:r w:rsidR="00D103EF">
        <w:rPr>
          <w:rFonts w:asciiTheme="minorHAnsi" w:hAnsiTheme="minorHAnsi"/>
          <w:b/>
          <w:bCs/>
        </w:rPr>
        <w:t xml:space="preserve"> (</w:t>
      </w:r>
      <w:r w:rsidRPr="000C59EC">
        <w:rPr>
          <w:rFonts w:asciiTheme="minorHAnsi" w:hAnsiTheme="minorHAnsi"/>
          <w:b/>
          <w:bCs/>
        </w:rPr>
        <w:t>Córdoba</w:t>
      </w:r>
      <w:r w:rsidR="00D103EF">
        <w:rPr>
          <w:rFonts w:asciiTheme="minorHAnsi" w:hAnsiTheme="minorHAnsi"/>
          <w:b/>
          <w:bCs/>
        </w:rPr>
        <w:t>)</w:t>
      </w:r>
      <w:r w:rsidRPr="000C59EC">
        <w:rPr>
          <w:rFonts w:asciiTheme="minorHAnsi" w:hAnsiTheme="minorHAnsi"/>
        </w:rPr>
        <w:t xml:space="preserve"> y </w:t>
      </w:r>
      <w:r w:rsidRPr="000C59EC">
        <w:rPr>
          <w:rFonts w:asciiTheme="minorHAnsi" w:hAnsiTheme="minorHAnsi"/>
          <w:b/>
          <w:bCs/>
        </w:rPr>
        <w:t>San Luis Capital</w:t>
      </w:r>
      <w:r w:rsidR="00D103EF">
        <w:rPr>
          <w:rFonts w:asciiTheme="minorHAnsi" w:hAnsiTheme="minorHAnsi"/>
          <w:b/>
          <w:bCs/>
        </w:rPr>
        <w:t xml:space="preserve"> (San Luis)</w:t>
      </w:r>
      <w:r w:rsidRPr="000C59EC">
        <w:rPr>
          <w:rFonts w:asciiTheme="minorHAnsi" w:hAnsiTheme="minorHAnsi"/>
        </w:rPr>
        <w:t>. El análisis combina factores cuantitativos, derivados del flujo de fondos proyectado a cinco años, con factores cualitativos que incorporan variables no monetizables pero relevantes para la viabilidad operativa del proyecto.</w:t>
      </w:r>
    </w:p>
    <w:p w14:paraId="7C261193"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metodología adoptada es el </w:t>
      </w:r>
      <w:r w:rsidRPr="000C59EC">
        <w:rPr>
          <w:rFonts w:asciiTheme="minorHAnsi" w:hAnsiTheme="minorHAnsi"/>
          <w:b/>
          <w:bCs/>
        </w:rPr>
        <w:t>modelo de ponderación por factores</w:t>
      </w:r>
      <w:r w:rsidRPr="000C59EC">
        <w:rPr>
          <w:rFonts w:asciiTheme="minorHAnsi" w:hAnsiTheme="minorHAnsi"/>
        </w:rPr>
        <w:t>, en el cual cada factor recibe un peso relativo (ponderación) en función de su importancia estratégica para el proyecto. Los valores de cada localización en cada factor se normalizan respecto al mejor resultado del grupo, de modo que el puntaje ponderado final resulta comparable entre alternativas en una escala común. La localización con mayor puntaje ponderado total es declarada la opción óptima.</w:t>
      </w:r>
    </w:p>
    <w:p w14:paraId="7C261194" w14:textId="77777777" w:rsidR="00096451" w:rsidRPr="00D103EF" w:rsidRDefault="00757DCB">
      <w:pPr>
        <w:pStyle w:val="Ttulo1"/>
        <w:rPr>
          <w:rFonts w:asciiTheme="minorHAnsi" w:hAnsiTheme="minorHAnsi"/>
          <w:color w:val="auto"/>
        </w:rPr>
      </w:pPr>
      <w:r w:rsidRPr="00D103EF">
        <w:rPr>
          <w:rFonts w:asciiTheme="minorHAnsi" w:hAnsiTheme="minorHAnsi"/>
          <w:color w:val="auto"/>
        </w:rPr>
        <w:t>2. Descripción del producto y los clientes</w:t>
      </w:r>
    </w:p>
    <w:p w14:paraId="7C261195"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producto objeto del análisis es la </w:t>
      </w:r>
      <w:r w:rsidRPr="000C59EC">
        <w:rPr>
          <w:rFonts w:asciiTheme="minorHAnsi" w:hAnsiTheme="minorHAnsi"/>
          <w:b/>
          <w:bCs/>
        </w:rPr>
        <w:t>cuchara de colada</w:t>
      </w:r>
      <w:r w:rsidRPr="000C59EC">
        <w:rPr>
          <w:rFonts w:asciiTheme="minorHAnsi" w:hAnsiTheme="minorHAnsi"/>
        </w:rPr>
        <w:t>, un recipiente de acero revestido internamente con materiales refractarios, utilizado en la industria siderúrgica para transportar y vaciar acero líquido desde el horno hasta la colada continua. Su fabricación requiere soldadura especial, calderería pesada, instalación de refractarios y operación de puentes grúa de alta capacidad, lo que determina un perfil de mano de obra calificada muy específico.</w:t>
      </w:r>
    </w:p>
    <w:p w14:paraId="7C261196" w14:textId="4C2F020C" w:rsidR="00096451" w:rsidRPr="000C59EC" w:rsidRDefault="00757DCB">
      <w:pPr>
        <w:spacing w:before="60" w:after="100" w:line="276" w:lineRule="auto"/>
        <w:jc w:val="both"/>
        <w:rPr>
          <w:rFonts w:asciiTheme="minorHAnsi" w:hAnsiTheme="minorHAnsi"/>
        </w:rPr>
      </w:pPr>
      <w:r w:rsidRPr="000C59EC">
        <w:rPr>
          <w:rFonts w:asciiTheme="minorHAnsi" w:hAnsiTheme="minorHAnsi"/>
        </w:rPr>
        <w:t>Los tres clientes tienen ubicaciones geográficas con implicancias directas sobre los costos de transporte de producto terminado. Metcon se encuentra en el mismo partido de San Nicolás</w:t>
      </w:r>
      <w:r w:rsidR="00983E0F">
        <w:rPr>
          <w:rFonts w:asciiTheme="minorHAnsi" w:hAnsiTheme="minorHAnsi"/>
        </w:rPr>
        <w:t xml:space="preserve">, </w:t>
      </w:r>
      <w:r w:rsidRPr="000C59EC">
        <w:rPr>
          <w:rFonts w:asciiTheme="minorHAnsi" w:hAnsiTheme="minorHAnsi"/>
        </w:rPr>
        <w:t>Altos Hornos Zapla opera en Palpalá, Jujuy, a más de 1.500 km de distancia desde cualquiera de las tres localizaciones evaluadas</w:t>
      </w:r>
      <w:r w:rsidR="00983E0F">
        <w:rPr>
          <w:rFonts w:asciiTheme="minorHAnsi" w:hAnsiTheme="minorHAnsi"/>
        </w:rPr>
        <w:t>,</w:t>
      </w:r>
      <w:r w:rsidRPr="000C59EC">
        <w:rPr>
          <w:rFonts w:asciiTheme="minorHAnsi" w:hAnsiTheme="minorHAnsi"/>
        </w:rPr>
        <w:t xml:space="preserve"> y Acerbrag tiene su planta en Bragado, Buenos Aires. Esta dispersión geográfica de clientes hace que el costo de transporte de producto terminado sea un factor diferenciador significativo entre alternativas.</w:t>
      </w:r>
    </w:p>
    <w:p w14:paraId="7C261197"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En cuanto a la materia prima, el acero y los insumos refractarios se adquieren en el Área Metropolitana de Buenos Aires (AMBA). Las distancias desde el AMBA a cada localización varían considerablemente: aproximadamente 239 km a San Nicolás, 670 km a Alberdi y 904 km a San Luis Capital, lo que genera diferencias sustanciales en el costo de transporte de materia prima.</w:t>
      </w:r>
    </w:p>
    <w:p w14:paraId="7C261198" w14:textId="77777777" w:rsidR="00096451" w:rsidRPr="00983E0F" w:rsidRDefault="00757DCB">
      <w:pPr>
        <w:pStyle w:val="Ttulo1"/>
        <w:rPr>
          <w:rFonts w:asciiTheme="minorHAnsi" w:hAnsiTheme="minorHAnsi"/>
          <w:color w:val="auto"/>
        </w:rPr>
      </w:pPr>
      <w:r w:rsidRPr="00983E0F">
        <w:rPr>
          <w:rFonts w:asciiTheme="minorHAnsi" w:hAnsiTheme="minorHAnsi"/>
          <w:color w:val="auto"/>
        </w:rPr>
        <w:t>3. Inversión en activo fijo y amortizaciones</w:t>
      </w:r>
    </w:p>
    <w:p w14:paraId="7C261199"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inversión inicial en activo fijo comprende tres componentes: terreno, nave industrial y equipamiento. La nave industrial y los equipos se consideran estándar y tienen el mismo valor para las tres localizaciones (USD 2.062.500 y USD 687.500, respectivamente). La diferencia </w:t>
      </w:r>
      <w:r w:rsidRPr="000C59EC">
        <w:rPr>
          <w:rFonts w:asciiTheme="minorHAnsi" w:hAnsiTheme="minorHAnsi"/>
        </w:rPr>
        <w:lastRenderedPageBreak/>
        <w:t xml:space="preserve">determinante entre sitios reside en el </w:t>
      </w:r>
      <w:r w:rsidRPr="000C59EC">
        <w:rPr>
          <w:rFonts w:asciiTheme="minorHAnsi" w:hAnsiTheme="minorHAnsi"/>
          <w:b/>
          <w:bCs/>
        </w:rPr>
        <w:t>costo del terreno</w:t>
      </w:r>
      <w:r w:rsidRPr="000C59EC">
        <w:rPr>
          <w:rFonts w:asciiTheme="minorHAnsi" w:hAnsiTheme="minorHAnsi"/>
        </w:rPr>
        <w:t>, que varía significativamente según el mercado inmobiliario industrial de cada zona.</w:t>
      </w:r>
    </w:p>
    <w:p w14:paraId="7C26119A"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San Nicolás presenta el costo de terreno más elevado, con USD 166/m² sobre una superficie de 5.000 m², resultando en una inversión total de USD 830.000 solo en terreno. Alberdi se ubica en una posición intermedia con USD 40/m² (USD 200.000 en terreno), mientras que San Luis Capital ofrece el costo más bajo del grupo con USD 1,81/m² (USD 9.050), asociado a la política de promoción industrial provincial que subsidia o facilita el acceso a predios en parques industriales. En consecuencia, la inversión total en</w:t>
      </w:r>
      <w:r w:rsidRPr="000C59EC">
        <w:rPr>
          <w:rFonts w:asciiTheme="minorHAnsi" w:hAnsiTheme="minorHAnsi"/>
        </w:rPr>
        <w:t xml:space="preserve"> activo fijo asciende a </w:t>
      </w:r>
      <w:r w:rsidRPr="000C59EC">
        <w:rPr>
          <w:rFonts w:asciiTheme="minorHAnsi" w:hAnsiTheme="minorHAnsi"/>
          <w:b/>
          <w:bCs/>
        </w:rPr>
        <w:t>USD 3.580.000</w:t>
      </w:r>
      <w:r w:rsidRPr="000C59EC">
        <w:rPr>
          <w:rFonts w:asciiTheme="minorHAnsi" w:hAnsiTheme="minorHAnsi"/>
        </w:rPr>
        <w:t xml:space="preserve"> para San Nicolás, </w:t>
      </w:r>
      <w:r w:rsidRPr="000C59EC">
        <w:rPr>
          <w:rFonts w:asciiTheme="minorHAnsi" w:hAnsiTheme="minorHAnsi"/>
          <w:b/>
          <w:bCs/>
        </w:rPr>
        <w:t>USD 2.950.000</w:t>
      </w:r>
      <w:r w:rsidRPr="000C59EC">
        <w:rPr>
          <w:rFonts w:asciiTheme="minorHAnsi" w:hAnsiTheme="minorHAnsi"/>
        </w:rPr>
        <w:t xml:space="preserve"> para Alberdi y </w:t>
      </w:r>
      <w:r w:rsidRPr="000C59EC">
        <w:rPr>
          <w:rFonts w:asciiTheme="minorHAnsi" w:hAnsiTheme="minorHAnsi"/>
          <w:b/>
          <w:bCs/>
        </w:rPr>
        <w:t>USD 2.759.050</w:t>
      </w:r>
      <w:r w:rsidRPr="000C59EC">
        <w:rPr>
          <w:rFonts w:asciiTheme="minorHAnsi" w:hAnsiTheme="minorHAnsi"/>
        </w:rPr>
        <w:t xml:space="preserve"> para San Luis Capital.</w:t>
      </w:r>
    </w:p>
    <w:p w14:paraId="7C26119B"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Las amortizaciones se calculan por el método lineal. El terreno se amortiza en 10 años, la nave industrial en 10 años y los equipos en 5 años. Dado que el costo del terreno difiere entre localizaciones, la amortización anual total también varía: USD 426.750 para San Nicolás, USD 363.750 para Alberdi y USD 344.655 para San Luis Capital. Esta diferencia impacta directamente en la utilidad antes de impuestos de cada escenario.</w:t>
      </w:r>
    </w:p>
    <w:p w14:paraId="7C26119C" w14:textId="77777777" w:rsidR="00096451" w:rsidRPr="00F67A90" w:rsidRDefault="00757DCB">
      <w:pPr>
        <w:pStyle w:val="Ttulo1"/>
        <w:rPr>
          <w:rFonts w:asciiTheme="minorHAnsi" w:hAnsiTheme="minorHAnsi"/>
          <w:color w:val="auto"/>
        </w:rPr>
      </w:pPr>
      <w:r w:rsidRPr="00F67A90">
        <w:rPr>
          <w:rFonts w:asciiTheme="minorHAnsi" w:hAnsiTheme="minorHAnsi"/>
          <w:color w:val="auto"/>
        </w:rPr>
        <w:t>4. Determinación del precio de venta</w:t>
      </w:r>
    </w:p>
    <w:p w14:paraId="7C26119D"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precio de venta se calculó aplicando un </w:t>
      </w:r>
      <w:r w:rsidRPr="000C59EC">
        <w:rPr>
          <w:rFonts w:asciiTheme="minorHAnsi" w:hAnsiTheme="minorHAnsi"/>
          <w:b/>
          <w:bCs/>
        </w:rPr>
        <w:t>margen bruto del 20%</w:t>
      </w:r>
      <w:r w:rsidRPr="000C59EC">
        <w:rPr>
          <w:rFonts w:asciiTheme="minorHAnsi" w:hAnsiTheme="minorHAnsi"/>
        </w:rPr>
        <w:t xml:space="preserve"> sobre el costo total por unidad, que incluye el costo de producción, el costo de transporte de materia prima y el costo de transporte de producto terminado promedio ponderado por la distribución de ventas entre clientes.</w:t>
      </w:r>
    </w:p>
    <w:p w14:paraId="7C26119E"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Dado que los costos de transporte varían por localización, el precio de venta resultante también difiere inicialmente entre sitios: USD 1.092.881 para San Nicolás, USD 1.132.594 para Alberdi y USD 1.155.227 para San Luis Capital. Sin embargo, en un mercado con un único precio de referencia, no resulta coherente que la empresa cobre precios distintos en función de su localización de producción, ya que el precio lo determina el mercado y no el lugar de fabricación.</w:t>
      </w:r>
    </w:p>
    <w:p w14:paraId="7C26119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Para resolver esta inconsistencia, se adoptó como criterio la utilización de un </w:t>
      </w:r>
      <w:r w:rsidRPr="000C59EC">
        <w:rPr>
          <w:rFonts w:asciiTheme="minorHAnsi" w:hAnsiTheme="minorHAnsi"/>
          <w:b/>
          <w:bCs/>
        </w:rPr>
        <w:t>precio único promedio de las tres alternativas</w:t>
      </w:r>
      <w:r w:rsidRPr="000C59EC">
        <w:rPr>
          <w:rFonts w:asciiTheme="minorHAnsi" w:hAnsiTheme="minorHAnsi"/>
        </w:rPr>
        <w:t xml:space="preserve">, equivalente a </w:t>
      </w:r>
      <w:r w:rsidRPr="000C59EC">
        <w:rPr>
          <w:rFonts w:asciiTheme="minorHAnsi" w:hAnsiTheme="minorHAnsi"/>
          <w:b/>
          <w:bCs/>
        </w:rPr>
        <w:t>USD 1.126.900 por cuchara</w:t>
      </w:r>
      <w:r w:rsidRPr="000C59EC">
        <w:rPr>
          <w:rFonts w:asciiTheme="minorHAnsi" w:hAnsiTheme="minorHAnsi"/>
        </w:rPr>
        <w:t>. Este criterio es conceptualmente correcto en un análisis de localización porque el precio de venta se fija antes de elegir el sitio de producción, y refleja el costo promedio del mercado sin sesgar artificialmente la evaluación en favor de ninguna de las tres localizaciones.</w:t>
      </w:r>
    </w:p>
    <w:p w14:paraId="7C2611A0" w14:textId="77777777" w:rsidR="00096451" w:rsidRPr="007D35B9" w:rsidRDefault="00757DCB">
      <w:pPr>
        <w:pStyle w:val="Ttulo1"/>
        <w:rPr>
          <w:rFonts w:asciiTheme="minorHAnsi" w:hAnsiTheme="minorHAnsi"/>
          <w:color w:val="auto"/>
        </w:rPr>
      </w:pPr>
      <w:r w:rsidRPr="007D35B9">
        <w:rPr>
          <w:rFonts w:asciiTheme="minorHAnsi" w:hAnsiTheme="minorHAnsi"/>
          <w:color w:val="auto"/>
        </w:rPr>
        <w:t>5. Costos de transporte</w:t>
      </w:r>
    </w:p>
    <w:p w14:paraId="7C2611A1" w14:textId="77777777" w:rsidR="00096451" w:rsidRPr="007D35B9" w:rsidRDefault="00757DCB">
      <w:pPr>
        <w:pStyle w:val="Ttulo2"/>
        <w:rPr>
          <w:rFonts w:asciiTheme="minorHAnsi" w:hAnsiTheme="minorHAnsi"/>
          <w:color w:val="auto"/>
        </w:rPr>
      </w:pPr>
      <w:r w:rsidRPr="007D35B9">
        <w:rPr>
          <w:rFonts w:asciiTheme="minorHAnsi" w:hAnsiTheme="minorHAnsi"/>
          <w:color w:val="auto"/>
        </w:rPr>
        <w:t>5.1. Transporte de materia prima</w:t>
      </w:r>
    </w:p>
    <w:p w14:paraId="7C2611A2"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transporte de materia prima desde el AMBA se realiza en camiones semirremolque, con una cantidad de </w:t>
      </w:r>
      <w:r w:rsidRPr="000C59EC">
        <w:rPr>
          <w:rFonts w:asciiTheme="minorHAnsi" w:hAnsiTheme="minorHAnsi"/>
          <w:b/>
          <w:bCs/>
        </w:rPr>
        <w:t>6 semirremolques por cuchara</w:t>
      </w:r>
      <w:r w:rsidRPr="000C59EC">
        <w:rPr>
          <w:rFonts w:asciiTheme="minorHAnsi" w:hAnsiTheme="minorHAnsi"/>
        </w:rPr>
        <w:t xml:space="preserve">. El costo por kilómetro varía según la distancia: USD 18/km para San Nicolás, USD 14/km para Alberdi y USD 12/km para San Luis Capital, reflejando economías de escala en distancias más largas. El costo total de transporte de materia prima por cuchara resulta en </w:t>
      </w:r>
      <w:r w:rsidRPr="000C59EC">
        <w:rPr>
          <w:rFonts w:asciiTheme="minorHAnsi" w:hAnsiTheme="minorHAnsi"/>
          <w:b/>
          <w:bCs/>
        </w:rPr>
        <w:t>USD 25.812 para San Nicolás</w:t>
      </w:r>
      <w:r w:rsidRPr="000C59EC">
        <w:rPr>
          <w:rFonts w:asciiTheme="minorHAnsi" w:hAnsiTheme="minorHAnsi"/>
        </w:rPr>
        <w:t xml:space="preserve">, </w:t>
      </w:r>
      <w:r w:rsidRPr="000C59EC">
        <w:rPr>
          <w:rFonts w:asciiTheme="minorHAnsi" w:hAnsiTheme="minorHAnsi"/>
          <w:b/>
          <w:bCs/>
        </w:rPr>
        <w:t>USD 56.280 para Alberdi</w:t>
      </w:r>
      <w:r w:rsidRPr="000C59EC">
        <w:rPr>
          <w:rFonts w:asciiTheme="minorHAnsi" w:hAnsiTheme="minorHAnsi"/>
        </w:rPr>
        <w:t xml:space="preserve"> y </w:t>
      </w:r>
      <w:r w:rsidRPr="000C59EC">
        <w:rPr>
          <w:rFonts w:asciiTheme="minorHAnsi" w:hAnsiTheme="minorHAnsi"/>
          <w:b/>
          <w:bCs/>
        </w:rPr>
        <w:t>USD 65.088 para San Luis Capital</w:t>
      </w:r>
      <w:r w:rsidRPr="000C59EC">
        <w:rPr>
          <w:rFonts w:asciiTheme="minorHAnsi" w:hAnsiTheme="minorHAnsi"/>
        </w:rPr>
        <w:t xml:space="preserve">. Este factor recibe la mayor ponderación del modelo (0,30) dado que es el costo </w:t>
      </w:r>
      <w:r w:rsidRPr="000C59EC">
        <w:rPr>
          <w:rFonts w:asciiTheme="minorHAnsi" w:hAnsiTheme="minorHAnsi"/>
        </w:rPr>
        <w:lastRenderedPageBreak/>
        <w:t>recurrente de mayor variabilidad entre localizaciones</w:t>
      </w:r>
      <w:r w:rsidRPr="000C59EC">
        <w:rPr>
          <w:rFonts w:asciiTheme="minorHAnsi" w:hAnsiTheme="minorHAnsi"/>
        </w:rPr>
        <w:t xml:space="preserve"> y con mayor impacto acumulado a lo largo del proyecto.</w:t>
      </w:r>
    </w:p>
    <w:p w14:paraId="7C2611A3" w14:textId="77777777" w:rsidR="00096451" w:rsidRPr="007D35B9" w:rsidRDefault="00757DCB">
      <w:pPr>
        <w:pStyle w:val="Ttulo2"/>
        <w:rPr>
          <w:rFonts w:asciiTheme="minorHAnsi" w:hAnsiTheme="minorHAnsi"/>
          <w:color w:val="auto"/>
        </w:rPr>
      </w:pPr>
      <w:r w:rsidRPr="007D35B9">
        <w:rPr>
          <w:rFonts w:asciiTheme="minorHAnsi" w:hAnsiTheme="minorHAnsi"/>
          <w:color w:val="auto"/>
        </w:rPr>
        <w:t>5.2. Transporte de producto terminado</w:t>
      </w:r>
    </w:p>
    <w:p w14:paraId="7C2611A4"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El costo de transporte de producto terminado se calcula para cada par localización-cliente. Las distancias varían significativamente: Metcon se encuentra a 10 km de San Nicolás pero a 362 km de Alberdi y 733 km de San Luis; Acerbrag está a 1.288 km de San Nicolás, 906 km de Alberdi y 1.232 km de San Luis. Altos Hornos Zapla, por su ubicación en Jujuy, implica distancias largas desde cualquier localización (254 km desde San Nicolás, 508 km desde Alberdi y 727 km desde San Luis).</w:t>
      </w:r>
    </w:p>
    <w:p w14:paraId="7C2611A5"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San Nicolás resulta ampliamente ventajosa en este factor dado que Metcon, su cliente de mayor volumen en los primeros </w:t>
      </w:r>
      <w:proofErr w:type="gramStart"/>
      <w:r w:rsidRPr="000C59EC">
        <w:rPr>
          <w:rFonts w:asciiTheme="minorHAnsi" w:hAnsiTheme="minorHAnsi"/>
        </w:rPr>
        <w:t>años,</w:t>
      </w:r>
      <w:proofErr w:type="gramEnd"/>
      <w:r w:rsidRPr="000C59EC">
        <w:rPr>
          <w:rFonts w:asciiTheme="minorHAnsi" w:hAnsiTheme="minorHAnsi"/>
        </w:rPr>
        <w:t xml:space="preserve"> se encuentra en la misma ciudad. El costo total de transporte de PT a lo largo del proyecto asciende a </w:t>
      </w:r>
      <w:r w:rsidRPr="000C59EC">
        <w:rPr>
          <w:rFonts w:asciiTheme="minorHAnsi" w:hAnsiTheme="minorHAnsi"/>
          <w:b/>
          <w:bCs/>
        </w:rPr>
        <w:t>USD 229.296 para San Nicolás</w:t>
      </w:r>
      <w:r w:rsidRPr="000C59EC">
        <w:rPr>
          <w:rFonts w:asciiTheme="minorHAnsi" w:hAnsiTheme="minorHAnsi"/>
        </w:rPr>
        <w:t xml:space="preserve">, </w:t>
      </w:r>
      <w:r w:rsidRPr="000C59EC">
        <w:rPr>
          <w:rFonts w:asciiTheme="minorHAnsi" w:hAnsiTheme="minorHAnsi"/>
          <w:b/>
          <w:bCs/>
        </w:rPr>
        <w:t>USD 264.476 para Alberdi</w:t>
      </w:r>
      <w:r w:rsidRPr="000C59EC">
        <w:rPr>
          <w:rFonts w:asciiTheme="minorHAnsi" w:hAnsiTheme="minorHAnsi"/>
        </w:rPr>
        <w:t xml:space="preserve"> y </w:t>
      </w:r>
      <w:r w:rsidRPr="000C59EC">
        <w:rPr>
          <w:rFonts w:asciiTheme="minorHAnsi" w:hAnsiTheme="minorHAnsi"/>
          <w:b/>
          <w:bCs/>
        </w:rPr>
        <w:t>USD 515.520 para San Luis Capital</w:t>
      </w:r>
      <w:r w:rsidRPr="000C59EC">
        <w:rPr>
          <w:rFonts w:asciiTheme="minorHAnsi" w:hAnsiTheme="minorHAnsi"/>
        </w:rPr>
        <w:t>. Este factor recibe una ponderación de 0,25 en el modelo.</w:t>
      </w:r>
    </w:p>
    <w:p w14:paraId="7C2611A6" w14:textId="77777777" w:rsidR="00096451" w:rsidRPr="008062E2" w:rsidRDefault="00757DCB">
      <w:pPr>
        <w:pStyle w:val="Ttulo1"/>
        <w:rPr>
          <w:rFonts w:asciiTheme="minorHAnsi" w:hAnsiTheme="minorHAnsi"/>
          <w:color w:val="auto"/>
        </w:rPr>
      </w:pPr>
      <w:r w:rsidRPr="008062E2">
        <w:rPr>
          <w:rFonts w:asciiTheme="minorHAnsi" w:hAnsiTheme="minorHAnsi"/>
          <w:color w:val="auto"/>
        </w:rPr>
        <w:t>6. Crédito fiscal</w:t>
      </w:r>
    </w:p>
    <w:p w14:paraId="7C2611A7" w14:textId="45E1051F"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localización en San Luis Capital habilita el acceso </w:t>
      </w:r>
      <w:r w:rsidR="000200D7">
        <w:rPr>
          <w:rFonts w:asciiTheme="minorHAnsi" w:hAnsiTheme="minorHAnsi"/>
        </w:rPr>
        <w:t>a</w:t>
      </w:r>
      <w:r w:rsidRPr="000C59EC">
        <w:rPr>
          <w:rFonts w:asciiTheme="minorHAnsi" w:hAnsiTheme="minorHAnsi"/>
        </w:rPr>
        <w:t xml:space="preserve"> un crédito fiscal equivalente al </w:t>
      </w:r>
      <w:r w:rsidRPr="000C59EC">
        <w:rPr>
          <w:rFonts w:asciiTheme="minorHAnsi" w:hAnsiTheme="minorHAnsi"/>
          <w:b/>
          <w:bCs/>
        </w:rPr>
        <w:t>3% del valor del activo fijo</w:t>
      </w:r>
      <w:r w:rsidRPr="000C59EC">
        <w:rPr>
          <w:rFonts w:asciiTheme="minorHAnsi" w:hAnsiTheme="minorHAnsi"/>
        </w:rPr>
        <w:t xml:space="preserve">, aplicable durante </w:t>
      </w:r>
      <w:r w:rsidRPr="000C59EC">
        <w:rPr>
          <w:rFonts w:asciiTheme="minorHAnsi" w:hAnsiTheme="minorHAnsi"/>
          <w:b/>
          <w:bCs/>
        </w:rPr>
        <w:t>10 años</w:t>
      </w:r>
      <w:r w:rsidRPr="000C59EC">
        <w:rPr>
          <w:rFonts w:asciiTheme="minorHAnsi" w:hAnsiTheme="minorHAnsi"/>
        </w:rPr>
        <w:t xml:space="preserve"> a partir del inicio de la actividad. Para el proyecto en San Luis Capital, esto representa un crédito de </w:t>
      </w:r>
      <w:r w:rsidRPr="000C59EC">
        <w:rPr>
          <w:rFonts w:asciiTheme="minorHAnsi" w:hAnsiTheme="minorHAnsi"/>
          <w:b/>
          <w:bCs/>
        </w:rPr>
        <w:t>USD 82.771,50 por año</w:t>
      </w:r>
      <w:r w:rsidRPr="000C59EC">
        <w:rPr>
          <w:rFonts w:asciiTheme="minorHAnsi" w:hAnsiTheme="minorHAnsi"/>
        </w:rPr>
        <w:t>.</w:t>
      </w:r>
    </w:p>
    <w:p w14:paraId="7C2611A8"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crédito fiscal no se contabiliza como un ingreso separado ni como un egreso negativo, sino como una </w:t>
      </w:r>
      <w:r w:rsidRPr="000C59EC">
        <w:rPr>
          <w:rFonts w:asciiTheme="minorHAnsi" w:hAnsiTheme="minorHAnsi"/>
          <w:b/>
          <w:bCs/>
        </w:rPr>
        <w:t>reducción directa del impuesto a las ganancias</w:t>
      </w:r>
      <w:r w:rsidRPr="000C59EC">
        <w:rPr>
          <w:rFonts w:asciiTheme="minorHAnsi" w:hAnsiTheme="minorHAnsi"/>
        </w:rPr>
        <w:t xml:space="preserve"> a pagar en cada ejercicio. Esto significa que durante los años en que San Luis genera utilidades positivas, el impuesto efectivamente pagado es menor al que correspondería aplicando la alícuota del 25% sobre la utilidad antes de impuestos. En los años en que la utilidad es negativa, no hay impuesto y el crédito no se aplica ese ejercicio. Dado que el proyecto abarca 5 años y el beneficio tiene vigencia de 10, la reducción impositiva opera durante todos los años</w:t>
      </w:r>
      <w:r w:rsidRPr="000C59EC">
        <w:rPr>
          <w:rFonts w:asciiTheme="minorHAnsi" w:hAnsiTheme="minorHAnsi"/>
        </w:rPr>
        <w:t xml:space="preserve"> del horizonte de análisis en que existe base imponible positiva.</w:t>
      </w:r>
    </w:p>
    <w:p w14:paraId="7C2611A9"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Este beneficio explica por qué la carga impositiva total de San Luis Capital (USD 641.558) es significativamente menor que la de San Nicolás (USD 1.213.056) o Alberdi (USD 1.071.155), y contribuye a que la TIR de San Luis (23,29%) sea la más alta de las tres alternativas a pesar de tener el mayor costo de transporte.</w:t>
      </w:r>
    </w:p>
    <w:p w14:paraId="7C2611AA" w14:textId="77777777" w:rsidR="00096451" w:rsidRPr="009476AB" w:rsidRDefault="00757DCB">
      <w:pPr>
        <w:pStyle w:val="Ttulo1"/>
        <w:rPr>
          <w:rFonts w:asciiTheme="minorHAnsi" w:hAnsiTheme="minorHAnsi"/>
          <w:color w:val="auto"/>
        </w:rPr>
      </w:pPr>
      <w:r w:rsidRPr="009476AB">
        <w:rPr>
          <w:rFonts w:asciiTheme="minorHAnsi" w:hAnsiTheme="minorHAnsi"/>
          <w:color w:val="auto"/>
        </w:rPr>
        <w:t>7. Inversión en activo de trabajo</w:t>
      </w:r>
    </w:p>
    <w:p w14:paraId="7C2611AB"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activo de trabajo representa el capital necesario para financiar las operaciones desde el inicio hasta la recepción del primer pago de un cliente. Se calculó tomando como referencia </w:t>
      </w:r>
      <w:r w:rsidRPr="000C59EC">
        <w:rPr>
          <w:rFonts w:asciiTheme="minorHAnsi" w:hAnsiTheme="minorHAnsi"/>
          <w:b/>
          <w:bCs/>
        </w:rPr>
        <w:t>un mes de costos operativos variables del Año 1</w:t>
      </w:r>
      <w:r w:rsidRPr="000C59EC">
        <w:rPr>
          <w:rFonts w:asciiTheme="minorHAnsi" w:hAnsiTheme="minorHAnsi"/>
        </w:rPr>
        <w:t>, incluyendo costos de producción, transporte de materia prima y transporte de producto terminado. Este criterio responde al período mínimo de capital inmovilizado antes del primer cobro, considerando que las cucharas de colada son bienes de capital con ciclos de producción y negociación prolongados.</w:t>
      </w:r>
    </w:p>
    <w:p w14:paraId="7C2611AC"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lastRenderedPageBreak/>
        <w:t xml:space="preserve">Los valores resultantes son: </w:t>
      </w:r>
      <w:r w:rsidRPr="000C59EC">
        <w:rPr>
          <w:rFonts w:asciiTheme="minorHAnsi" w:hAnsiTheme="minorHAnsi"/>
          <w:b/>
          <w:bCs/>
        </w:rPr>
        <w:t>USD 72.169 para San Nicolás</w:t>
      </w:r>
      <w:r w:rsidRPr="000C59EC">
        <w:rPr>
          <w:rFonts w:asciiTheme="minorHAnsi" w:hAnsiTheme="minorHAnsi"/>
        </w:rPr>
        <w:t xml:space="preserve">, </w:t>
      </w:r>
      <w:r w:rsidRPr="000C59EC">
        <w:rPr>
          <w:rFonts w:asciiTheme="minorHAnsi" w:hAnsiTheme="minorHAnsi"/>
          <w:b/>
          <w:bCs/>
        </w:rPr>
        <w:t>USD 75.354 para Alberdi</w:t>
      </w:r>
      <w:r w:rsidRPr="000C59EC">
        <w:rPr>
          <w:rFonts w:asciiTheme="minorHAnsi" w:hAnsiTheme="minorHAnsi"/>
        </w:rPr>
        <w:t xml:space="preserve"> y </w:t>
      </w:r>
      <w:r w:rsidRPr="000C59EC">
        <w:rPr>
          <w:rFonts w:asciiTheme="minorHAnsi" w:hAnsiTheme="minorHAnsi"/>
          <w:b/>
          <w:bCs/>
        </w:rPr>
        <w:t>USD 76.890 para San Luis Capital</w:t>
      </w:r>
      <w:r w:rsidRPr="000C59EC">
        <w:rPr>
          <w:rFonts w:asciiTheme="minorHAnsi" w:hAnsiTheme="minorHAnsi"/>
        </w:rPr>
        <w:t>. Las diferencias entre sitios reflejan los distintos niveles de costos operativos variables por localización. Al final del horizonte del proyecto, el activo de trabajo se recupera íntegramente.</w:t>
      </w:r>
    </w:p>
    <w:p w14:paraId="7C2611AD" w14:textId="77777777" w:rsidR="00096451" w:rsidRPr="009476AB" w:rsidRDefault="00757DCB">
      <w:pPr>
        <w:pStyle w:val="Ttulo1"/>
        <w:rPr>
          <w:rFonts w:asciiTheme="minorHAnsi" w:hAnsiTheme="minorHAnsi"/>
          <w:color w:val="auto"/>
        </w:rPr>
      </w:pPr>
      <w:r w:rsidRPr="009476AB">
        <w:rPr>
          <w:rFonts w:asciiTheme="minorHAnsi" w:hAnsiTheme="minorHAnsi"/>
          <w:color w:val="auto"/>
        </w:rPr>
        <w:t>8. Flujo de fondos e indicadores de rentabilidad</w:t>
      </w:r>
    </w:p>
    <w:p w14:paraId="7C2611AE" w14:textId="6076F57E"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flujo de fondos se proyectó a un horizonte de </w:t>
      </w:r>
      <w:r w:rsidRPr="000C59EC">
        <w:rPr>
          <w:rFonts w:asciiTheme="minorHAnsi" w:hAnsiTheme="minorHAnsi"/>
          <w:b/>
          <w:bCs/>
        </w:rPr>
        <w:t>5 años</w:t>
      </w:r>
      <w:r w:rsidRPr="000C59EC">
        <w:rPr>
          <w:rFonts w:asciiTheme="minorHAnsi" w:hAnsiTheme="minorHAnsi"/>
        </w:rPr>
        <w:t>, con el Año 0 correspondiente a la inversión inicial. Las ventas proyectadas son idénticas para las tres localizaciones</w:t>
      </w:r>
      <w:r w:rsidRPr="000C59EC">
        <w:rPr>
          <w:rFonts w:asciiTheme="minorHAnsi" w:hAnsiTheme="minorHAnsi"/>
        </w:rPr>
        <w:t>. El Año 1 arroja resultado negativo en las tres alternativas debido al bajo volumen de ventas respecto a la estructura de costos fijos, mientras que a partir del Año 2 el proyecto genera utilidades crecientes.</w:t>
      </w:r>
    </w:p>
    <w:p w14:paraId="7C2611A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Al finalizar el proyecto se contabilizan como ingresos el </w:t>
      </w:r>
      <w:r w:rsidRPr="000C59EC">
        <w:rPr>
          <w:rFonts w:asciiTheme="minorHAnsi" w:hAnsiTheme="minorHAnsi"/>
          <w:b/>
          <w:bCs/>
        </w:rPr>
        <w:t>valor residual del activo fijo</w:t>
      </w:r>
      <w:r w:rsidRPr="000C59EC">
        <w:rPr>
          <w:rFonts w:asciiTheme="minorHAnsi" w:hAnsiTheme="minorHAnsi"/>
        </w:rPr>
        <w:t xml:space="preserve"> (calculado sobre los activos con amortización incompleta al final del horizonte) y el </w:t>
      </w:r>
      <w:r w:rsidRPr="000C59EC">
        <w:rPr>
          <w:rFonts w:asciiTheme="minorHAnsi" w:hAnsiTheme="minorHAnsi"/>
          <w:b/>
          <w:bCs/>
        </w:rPr>
        <w:t>recupero del activo de trabajo</w:t>
      </w:r>
      <w:r w:rsidRPr="000C59EC">
        <w:rPr>
          <w:rFonts w:asciiTheme="minorHAnsi" w:hAnsiTheme="minorHAnsi"/>
        </w:rPr>
        <w:t>. La tabla siguiente resume los principales indicadores financieros de cada alternativa:</w:t>
      </w:r>
    </w:p>
    <w:p w14:paraId="7C2611B0" w14:textId="77777777" w:rsidR="00096451" w:rsidRPr="000C59EC" w:rsidRDefault="00096451">
      <w:pPr>
        <w:spacing w:before="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2253"/>
        <w:gridCol w:w="2253"/>
        <w:gridCol w:w="2253"/>
      </w:tblGrid>
      <w:tr w:rsidR="00096451" w:rsidRPr="000C59EC" w14:paraId="7C2611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B1"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Indicador</w:t>
            </w:r>
          </w:p>
        </w:tc>
        <w:tc>
          <w:tcPr>
            <w:tcW w:w="22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B2"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Nicolás</w:t>
            </w:r>
          </w:p>
        </w:tc>
        <w:tc>
          <w:tcPr>
            <w:tcW w:w="22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B3"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Alberdi</w:t>
            </w:r>
          </w:p>
        </w:tc>
        <w:tc>
          <w:tcPr>
            <w:tcW w:w="22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B4"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Luis</w:t>
            </w:r>
          </w:p>
        </w:tc>
      </w:tr>
      <w:tr w:rsidR="00096451" w:rsidRPr="000C59EC" w14:paraId="7C261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6" w14:textId="77777777" w:rsidR="00096451" w:rsidRPr="000C59EC" w:rsidRDefault="00757DCB">
            <w:pPr>
              <w:rPr>
                <w:rFonts w:asciiTheme="minorHAnsi" w:hAnsiTheme="minorHAnsi"/>
              </w:rPr>
            </w:pPr>
            <w:r w:rsidRPr="000C59EC">
              <w:rPr>
                <w:rFonts w:asciiTheme="minorHAnsi" w:hAnsiTheme="minorHAnsi"/>
                <w:color w:val="000000"/>
                <w:sz w:val="18"/>
                <w:szCs w:val="18"/>
              </w:rPr>
              <w:t>VAN (tasa 9%) [USD]</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1.405.669</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1.304.876</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1.380.941</w:t>
            </w:r>
          </w:p>
        </w:tc>
      </w:tr>
      <w:tr w:rsidR="00096451" w:rsidRPr="000C59EC" w14:paraId="7C2611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B" w14:textId="77777777" w:rsidR="00096451" w:rsidRPr="000C59EC" w:rsidRDefault="00757DCB">
            <w:pPr>
              <w:rPr>
                <w:rFonts w:asciiTheme="minorHAnsi" w:hAnsiTheme="minorHAnsi"/>
              </w:rPr>
            </w:pPr>
            <w:r w:rsidRPr="000C59EC">
              <w:rPr>
                <w:rFonts w:asciiTheme="minorHAnsi" w:hAnsiTheme="minorHAnsi"/>
                <w:color w:val="000000"/>
                <w:sz w:val="18"/>
                <w:szCs w:val="18"/>
              </w:rPr>
              <w:t>TIR [%]</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C"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20,42%</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D"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21,77%</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BE"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23,29%</w:t>
            </w:r>
          </w:p>
        </w:tc>
      </w:tr>
      <w:tr w:rsidR="00096451" w:rsidRPr="000C59EC" w14:paraId="7C2611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0" w14:textId="77777777" w:rsidR="00096451" w:rsidRPr="000C59EC" w:rsidRDefault="00757DCB">
            <w:pPr>
              <w:rPr>
                <w:rFonts w:asciiTheme="minorHAnsi" w:hAnsiTheme="minorHAnsi"/>
              </w:rPr>
            </w:pPr>
            <w:r w:rsidRPr="000C59EC">
              <w:rPr>
                <w:rFonts w:asciiTheme="minorHAnsi" w:hAnsiTheme="minorHAnsi"/>
                <w:color w:val="000000"/>
                <w:sz w:val="18"/>
                <w:szCs w:val="18"/>
              </w:rPr>
              <w:t>Beneficio neto [USD]</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1"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3.473.287</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2"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3.072.372</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3.108.584</w:t>
            </w:r>
          </w:p>
        </w:tc>
      </w:tr>
      <w:tr w:rsidR="00096451" w:rsidRPr="000C59EC" w14:paraId="7C2611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5" w14:textId="77777777" w:rsidR="00096451" w:rsidRPr="000C59EC" w:rsidRDefault="00757DCB">
            <w:pPr>
              <w:rPr>
                <w:rFonts w:asciiTheme="minorHAnsi" w:hAnsiTheme="minorHAnsi"/>
              </w:rPr>
            </w:pPr>
            <w:r w:rsidRPr="000C59EC">
              <w:rPr>
                <w:rFonts w:asciiTheme="minorHAnsi" w:hAnsiTheme="minorHAnsi"/>
                <w:color w:val="000000"/>
                <w:sz w:val="18"/>
                <w:szCs w:val="18"/>
              </w:rPr>
              <w:t>Impuestos totales [USD]</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6"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1.213.056</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1.071.155</w:t>
            </w:r>
          </w:p>
        </w:tc>
        <w:tc>
          <w:tcPr>
            <w:tcW w:w="22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C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641.558</w:t>
            </w:r>
          </w:p>
        </w:tc>
      </w:tr>
    </w:tbl>
    <w:p w14:paraId="7C2611CA" w14:textId="77777777" w:rsidR="00096451" w:rsidRPr="000C59EC" w:rsidRDefault="00096451">
      <w:pPr>
        <w:spacing w:before="120"/>
        <w:rPr>
          <w:rFonts w:asciiTheme="minorHAnsi" w:hAnsiTheme="minorHAnsi"/>
        </w:rPr>
      </w:pPr>
    </w:p>
    <w:p w14:paraId="7C2611CB"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San Luis presenta la TIR más alta (23,29%), seguida por Alberdi (21,77%) y San Nicolás (20,42%), principalmente por efecto del crédito fiscal y el menor costo de activo fijo. Sin embargo, en términos de VAN y beneficio neto absoluto, San Nicolás ocupa el primer lugar, con un VAN de USD 1.405.669 y un beneficio neto total de USD 3.473.287. La tasa de descuento utilizada fue del 9% anual, representativa del costo de oportunidad del capital en el contexto del proyecto.</w:t>
      </w:r>
    </w:p>
    <w:p w14:paraId="7C2611CC" w14:textId="77777777" w:rsidR="00096451" w:rsidRPr="009476AB" w:rsidRDefault="00757DCB">
      <w:pPr>
        <w:pStyle w:val="Ttulo1"/>
        <w:rPr>
          <w:rFonts w:asciiTheme="minorHAnsi" w:hAnsiTheme="minorHAnsi"/>
          <w:color w:val="auto"/>
        </w:rPr>
      </w:pPr>
      <w:r w:rsidRPr="009476AB">
        <w:rPr>
          <w:rFonts w:asciiTheme="minorHAnsi" w:hAnsiTheme="minorHAnsi"/>
          <w:color w:val="auto"/>
        </w:rPr>
        <w:t>9. Modelo de ponderación</w:t>
      </w:r>
    </w:p>
    <w:p w14:paraId="7C2611CD" w14:textId="77777777" w:rsidR="00096451" w:rsidRPr="009476AB" w:rsidRDefault="00757DCB">
      <w:pPr>
        <w:pStyle w:val="Ttulo2"/>
        <w:rPr>
          <w:rFonts w:asciiTheme="minorHAnsi" w:hAnsiTheme="minorHAnsi"/>
          <w:color w:val="auto"/>
        </w:rPr>
      </w:pPr>
      <w:r w:rsidRPr="009476AB">
        <w:rPr>
          <w:rFonts w:asciiTheme="minorHAnsi" w:hAnsiTheme="minorHAnsi"/>
          <w:color w:val="auto"/>
        </w:rPr>
        <w:t>9.1. Selección y ponderación de factores</w:t>
      </w:r>
    </w:p>
    <w:p w14:paraId="7C2611CE"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modelo de ponderación incorpora </w:t>
      </w:r>
      <w:r w:rsidRPr="000C59EC">
        <w:rPr>
          <w:rFonts w:asciiTheme="minorHAnsi" w:hAnsiTheme="minorHAnsi"/>
          <w:b/>
          <w:bCs/>
        </w:rPr>
        <w:t>cinco factores cuantitativos</w:t>
      </w:r>
      <w:r w:rsidRPr="000C59EC">
        <w:rPr>
          <w:rFonts w:asciiTheme="minorHAnsi" w:hAnsiTheme="minorHAnsi"/>
        </w:rPr>
        <w:t xml:space="preserve"> y </w:t>
      </w:r>
      <w:r w:rsidRPr="000C59EC">
        <w:rPr>
          <w:rFonts w:asciiTheme="minorHAnsi" w:hAnsiTheme="minorHAnsi"/>
          <w:b/>
          <w:bCs/>
        </w:rPr>
        <w:t>dos factores cualitativos</w:t>
      </w:r>
      <w:r w:rsidRPr="000C59EC">
        <w:rPr>
          <w:rFonts w:asciiTheme="minorHAnsi" w:hAnsiTheme="minorHAnsi"/>
        </w:rPr>
        <w:t>, con ponderaciones asignadas según la importancia relativa de cada variable en la decisión de localización. Los factores cuantitativos concentran el 90% del peso total del modelo, mientras que los cualitativos representan el 10% restante.</w:t>
      </w:r>
    </w:p>
    <w:p w14:paraId="7C2611C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w:t>
      </w:r>
      <w:r w:rsidRPr="000C59EC">
        <w:rPr>
          <w:rFonts w:asciiTheme="minorHAnsi" w:hAnsiTheme="minorHAnsi"/>
          <w:b/>
          <w:bCs/>
        </w:rPr>
        <w:t>costo de transporte de materia prima</w:t>
      </w:r>
      <w:r w:rsidRPr="000C59EC">
        <w:rPr>
          <w:rFonts w:asciiTheme="minorHAnsi" w:hAnsiTheme="minorHAnsi"/>
        </w:rPr>
        <w:t xml:space="preserve"> recibe la ponderación más alta (0,30) porque es el costo recurrente de mayor variabilidad entre localizaciones y con mayor impacto acumulado durante el horizonte del proyecto. El </w:t>
      </w:r>
      <w:r w:rsidRPr="000C59EC">
        <w:rPr>
          <w:rFonts w:asciiTheme="minorHAnsi" w:hAnsiTheme="minorHAnsi"/>
          <w:b/>
          <w:bCs/>
        </w:rPr>
        <w:t>costo de transporte de producto terminado</w:t>
      </w:r>
      <w:r w:rsidRPr="000C59EC">
        <w:rPr>
          <w:rFonts w:asciiTheme="minorHAnsi" w:hAnsiTheme="minorHAnsi"/>
        </w:rPr>
        <w:t xml:space="preserve"> tiene una ponderación de 0,25, también por ser un costo recurrente diferenciador, aunque de menor magnitud total que el de MP. El </w:t>
      </w:r>
      <w:r w:rsidRPr="000C59EC">
        <w:rPr>
          <w:rFonts w:asciiTheme="minorHAnsi" w:hAnsiTheme="minorHAnsi"/>
          <w:b/>
          <w:bCs/>
        </w:rPr>
        <w:t>VAN</w:t>
      </w:r>
      <w:r w:rsidRPr="000C59EC">
        <w:rPr>
          <w:rFonts w:asciiTheme="minorHAnsi" w:hAnsiTheme="minorHAnsi"/>
        </w:rPr>
        <w:t xml:space="preserve"> recibe una ponderación de 0,15 porque sintetiza el valor presente neto de todos los flujos </w:t>
      </w:r>
      <w:r w:rsidRPr="000C59EC">
        <w:rPr>
          <w:rFonts w:asciiTheme="minorHAnsi" w:hAnsiTheme="minorHAnsi"/>
        </w:rPr>
        <w:lastRenderedPageBreak/>
        <w:t xml:space="preserve">futuros y es el indicador de rentabilidad más completo. El </w:t>
      </w:r>
      <w:r w:rsidRPr="000C59EC">
        <w:rPr>
          <w:rFonts w:asciiTheme="minorHAnsi" w:hAnsiTheme="minorHAnsi"/>
          <w:b/>
          <w:bCs/>
        </w:rPr>
        <w:t>benefi</w:t>
      </w:r>
      <w:r w:rsidRPr="000C59EC">
        <w:rPr>
          <w:rFonts w:asciiTheme="minorHAnsi" w:hAnsiTheme="minorHAnsi"/>
          <w:b/>
          <w:bCs/>
        </w:rPr>
        <w:t>cio neto</w:t>
      </w:r>
      <w:r w:rsidRPr="000C59EC">
        <w:rPr>
          <w:rFonts w:asciiTheme="minorHAnsi" w:hAnsiTheme="minorHAnsi"/>
        </w:rPr>
        <w:t xml:space="preserve"> y los </w:t>
      </w:r>
      <w:r w:rsidRPr="000C59EC">
        <w:rPr>
          <w:rFonts w:asciiTheme="minorHAnsi" w:hAnsiTheme="minorHAnsi"/>
          <w:b/>
          <w:bCs/>
        </w:rPr>
        <w:t>impuestos</w:t>
      </w:r>
      <w:r w:rsidRPr="000C59EC">
        <w:rPr>
          <w:rFonts w:asciiTheme="minorHAnsi" w:hAnsiTheme="minorHAnsi"/>
        </w:rPr>
        <w:t xml:space="preserve"> tienen una ponderación de 0,10 cada uno, complementando la visión financiera del proyecto. Los factores cualitativos reciben 0,05 cada uno.</w:t>
      </w:r>
    </w:p>
    <w:p w14:paraId="7C2611D0" w14:textId="77777777" w:rsidR="00096451" w:rsidRPr="000C59EC" w:rsidRDefault="00096451">
      <w:pPr>
        <w:spacing w:before="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1920"/>
        <w:gridCol w:w="1920"/>
        <w:gridCol w:w="1920"/>
      </w:tblGrid>
      <w:tr w:rsidR="00096451" w:rsidRPr="000C59EC" w14:paraId="7C2611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D1"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Factor</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D2"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Pond.</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D3"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Nicolás</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D4"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Alberdi</w:t>
            </w:r>
          </w:p>
        </w:tc>
        <w:tc>
          <w:tcPr>
            <w:tcW w:w="1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1D5"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Luis</w:t>
            </w:r>
          </w:p>
        </w:tc>
      </w:tr>
      <w:tr w:rsidR="00096451" w:rsidRPr="000C59EC" w14:paraId="7C261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D7" w14:textId="77777777" w:rsidR="00096451" w:rsidRPr="000C59EC" w:rsidRDefault="00757DCB">
            <w:pPr>
              <w:rPr>
                <w:rFonts w:asciiTheme="minorHAnsi" w:hAnsiTheme="minorHAnsi"/>
              </w:rPr>
            </w:pPr>
            <w:r w:rsidRPr="000C59EC">
              <w:rPr>
                <w:rFonts w:asciiTheme="minorHAnsi" w:hAnsiTheme="minorHAnsi"/>
                <w:b/>
                <w:bCs/>
                <w:color w:val="000000"/>
                <w:sz w:val="18"/>
                <w:szCs w:val="18"/>
              </w:rPr>
              <w:t>FACTORES CUANTITATIVOS</w:t>
            </w:r>
          </w:p>
        </w:tc>
        <w:tc>
          <w:tcPr>
            <w:tcW w:w="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D8"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D9"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DA"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DB" w14:textId="77777777" w:rsidR="00096451" w:rsidRPr="000C59EC" w:rsidRDefault="00096451">
            <w:pPr>
              <w:rPr>
                <w:rFonts w:asciiTheme="minorHAnsi" w:hAnsiTheme="minorHAnsi"/>
              </w:rPr>
            </w:pPr>
          </w:p>
        </w:tc>
      </w:tr>
      <w:tr w:rsidR="00096451" w:rsidRPr="000C59EC" w14:paraId="7C261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DD" w14:textId="77777777" w:rsidR="00096451" w:rsidRPr="000C59EC" w:rsidRDefault="00757DCB">
            <w:pPr>
              <w:rPr>
                <w:rFonts w:asciiTheme="minorHAnsi" w:hAnsiTheme="minorHAnsi"/>
              </w:rPr>
            </w:pPr>
            <w:r w:rsidRPr="000C59EC">
              <w:rPr>
                <w:rFonts w:asciiTheme="minorHAnsi" w:hAnsiTheme="minorHAnsi"/>
                <w:color w:val="000000"/>
                <w:sz w:val="18"/>
                <w:szCs w:val="18"/>
              </w:rPr>
              <w:t>VAN (tasa 9%) [USD]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DE"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DF"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1.405.669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0"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1.304.876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1"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1.380.941</w:t>
            </w:r>
          </w:p>
        </w:tc>
      </w:tr>
      <w:tr w:rsidR="00096451" w:rsidRPr="000C59EC" w14:paraId="7C2611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3" w14:textId="77777777" w:rsidR="00096451" w:rsidRPr="000C59EC" w:rsidRDefault="00757DCB">
            <w:pPr>
              <w:rPr>
                <w:rFonts w:asciiTheme="minorHAnsi" w:hAnsiTheme="minorHAnsi"/>
              </w:rPr>
            </w:pPr>
            <w:r w:rsidRPr="000C59EC">
              <w:rPr>
                <w:rFonts w:asciiTheme="minorHAnsi" w:hAnsiTheme="minorHAnsi"/>
                <w:color w:val="000000"/>
                <w:sz w:val="18"/>
                <w:szCs w:val="18"/>
              </w:rPr>
              <w:t>Costo transp. MP [USD]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4"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0,30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5"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696.924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6"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1.519.560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1.757.376</w:t>
            </w:r>
          </w:p>
        </w:tc>
      </w:tr>
      <w:tr w:rsidR="00096451" w:rsidRPr="000C59EC" w14:paraId="7C2611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9" w14:textId="77777777" w:rsidR="00096451" w:rsidRPr="000C59EC" w:rsidRDefault="00757DCB">
            <w:pPr>
              <w:rPr>
                <w:rFonts w:asciiTheme="minorHAnsi" w:hAnsiTheme="minorHAnsi"/>
              </w:rPr>
            </w:pPr>
            <w:r w:rsidRPr="000C59EC">
              <w:rPr>
                <w:rFonts w:asciiTheme="minorHAnsi" w:hAnsiTheme="minorHAnsi"/>
                <w:color w:val="000000"/>
                <w:sz w:val="18"/>
                <w:szCs w:val="18"/>
              </w:rPr>
              <w:t>Costo transp. PT [USD]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A"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0,25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B"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229.296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C"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264.476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D"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515.520</w:t>
            </w:r>
          </w:p>
        </w:tc>
      </w:tr>
      <w:tr w:rsidR="00096451" w:rsidRPr="000C59EC" w14:paraId="7C2611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EF" w14:textId="77777777" w:rsidR="00096451" w:rsidRPr="000C59EC" w:rsidRDefault="00757DCB">
            <w:pPr>
              <w:rPr>
                <w:rFonts w:asciiTheme="minorHAnsi" w:hAnsiTheme="minorHAnsi"/>
              </w:rPr>
            </w:pPr>
            <w:r w:rsidRPr="000C59EC">
              <w:rPr>
                <w:rFonts w:asciiTheme="minorHAnsi" w:hAnsiTheme="minorHAnsi"/>
                <w:color w:val="000000"/>
                <w:sz w:val="18"/>
                <w:szCs w:val="18"/>
              </w:rPr>
              <w:t>Beneficio neto [USD]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0"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1"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3.473.287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2"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3.072.372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3.108.584</w:t>
            </w:r>
          </w:p>
        </w:tc>
      </w:tr>
      <w:tr w:rsidR="00096451" w:rsidRPr="000C59EC" w14:paraId="7C261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5" w14:textId="77777777" w:rsidR="00096451" w:rsidRPr="000C59EC" w:rsidRDefault="00757DCB">
            <w:pPr>
              <w:rPr>
                <w:rFonts w:asciiTheme="minorHAnsi" w:hAnsiTheme="minorHAnsi"/>
              </w:rPr>
            </w:pPr>
            <w:r w:rsidRPr="000C59EC">
              <w:rPr>
                <w:rFonts w:asciiTheme="minorHAnsi" w:hAnsiTheme="minorHAnsi"/>
                <w:color w:val="000000"/>
                <w:sz w:val="18"/>
                <w:szCs w:val="18"/>
              </w:rPr>
              <w:t>Impuestos [USD]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6"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1.213.056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1.071.155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1F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USD 641.558</w:t>
            </w:r>
          </w:p>
        </w:tc>
      </w:tr>
      <w:tr w:rsidR="00096451" w:rsidRPr="000C59EC" w14:paraId="7C261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FB" w14:textId="77777777" w:rsidR="00096451" w:rsidRPr="000C59EC" w:rsidRDefault="00757DCB">
            <w:pPr>
              <w:rPr>
                <w:rFonts w:asciiTheme="minorHAnsi" w:hAnsiTheme="minorHAnsi"/>
              </w:rPr>
            </w:pPr>
            <w:r w:rsidRPr="000C59EC">
              <w:rPr>
                <w:rFonts w:asciiTheme="minorHAnsi" w:hAnsiTheme="minorHAnsi"/>
                <w:b/>
                <w:bCs/>
                <w:color w:val="000000"/>
                <w:sz w:val="18"/>
                <w:szCs w:val="18"/>
              </w:rPr>
              <w:t>FACTORES CUALITATIVOS</w:t>
            </w:r>
          </w:p>
        </w:tc>
        <w:tc>
          <w:tcPr>
            <w:tcW w:w="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FC"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FD"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FE" w14:textId="77777777" w:rsidR="00096451" w:rsidRPr="000C59EC" w:rsidRDefault="00096451">
            <w:pPr>
              <w:rPr>
                <w:rFonts w:asciiTheme="minorHAnsi" w:hAnsiTheme="minorHAnsi"/>
              </w:rPr>
            </w:pPr>
          </w:p>
        </w:tc>
        <w:tc>
          <w:tcPr>
            <w:tcW w:w="19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20" w:type="dxa"/>
              <w:bottom w:w="80" w:type="dxa"/>
              <w:right w:w="120" w:type="dxa"/>
            </w:tcMar>
            <w:vAlign w:val="center"/>
          </w:tcPr>
          <w:p w14:paraId="7C2611FF" w14:textId="77777777" w:rsidR="00096451" w:rsidRPr="000C59EC" w:rsidRDefault="00096451">
            <w:pPr>
              <w:rPr>
                <w:rFonts w:asciiTheme="minorHAnsi" w:hAnsiTheme="minorHAnsi"/>
              </w:rPr>
            </w:pPr>
          </w:p>
        </w:tc>
      </w:tr>
      <w:tr w:rsidR="00096451" w:rsidRPr="000C59EC" w14:paraId="7C261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1" w14:textId="77777777" w:rsidR="00096451" w:rsidRPr="000C59EC" w:rsidRDefault="00757DCB">
            <w:pPr>
              <w:rPr>
                <w:rFonts w:asciiTheme="minorHAnsi" w:hAnsiTheme="minorHAnsi"/>
              </w:rPr>
            </w:pPr>
            <w:r w:rsidRPr="000C59EC">
              <w:rPr>
                <w:rFonts w:asciiTheme="minorHAnsi" w:hAnsiTheme="minorHAnsi"/>
                <w:color w:val="000000"/>
                <w:sz w:val="18"/>
                <w:szCs w:val="18"/>
              </w:rPr>
              <w:t>Disponibilidad de MO calificada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2"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0,05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8 / 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4"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5 / 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5"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4 / 10</w:t>
            </w:r>
          </w:p>
        </w:tc>
      </w:tr>
      <w:tr w:rsidR="00096451" w:rsidRPr="000C59EC" w14:paraId="7C261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7" w14:textId="77777777" w:rsidR="00096451" w:rsidRPr="000C59EC" w:rsidRDefault="00757DCB">
            <w:pPr>
              <w:rPr>
                <w:rFonts w:asciiTheme="minorHAnsi" w:hAnsiTheme="minorHAnsi"/>
              </w:rPr>
            </w:pPr>
            <w:r w:rsidRPr="000C59EC">
              <w:rPr>
                <w:rFonts w:asciiTheme="minorHAnsi" w:hAnsiTheme="minorHAnsi"/>
                <w:color w:val="000000"/>
                <w:sz w:val="18"/>
                <w:szCs w:val="18"/>
              </w:rPr>
              <w:t>Gestión ambiental in situ</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0,05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4 / 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A"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9 / 10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0B"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7 / 10</w:t>
            </w:r>
          </w:p>
        </w:tc>
      </w:tr>
    </w:tbl>
    <w:p w14:paraId="7C26120D" w14:textId="77777777" w:rsidR="00096451" w:rsidRPr="000C59EC" w:rsidRDefault="00096451">
      <w:pPr>
        <w:spacing w:before="120"/>
        <w:rPr>
          <w:rFonts w:asciiTheme="minorHAnsi" w:hAnsiTheme="minorHAnsi"/>
        </w:rPr>
      </w:pPr>
    </w:p>
    <w:p w14:paraId="7C26120E" w14:textId="77777777" w:rsidR="00096451" w:rsidRPr="00100D6C" w:rsidRDefault="00757DCB">
      <w:pPr>
        <w:pStyle w:val="Ttulo2"/>
        <w:rPr>
          <w:rFonts w:asciiTheme="minorHAnsi" w:hAnsiTheme="minorHAnsi"/>
          <w:color w:val="auto"/>
        </w:rPr>
      </w:pPr>
      <w:r w:rsidRPr="00100D6C">
        <w:rPr>
          <w:rFonts w:asciiTheme="minorHAnsi" w:hAnsiTheme="minorHAnsi"/>
          <w:color w:val="auto"/>
        </w:rPr>
        <w:t>9.2. Normalización de puntajes</w:t>
      </w:r>
    </w:p>
    <w:p w14:paraId="7C26120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Los valores de cada factor se normalizan mediante el método </w:t>
      </w:r>
      <w:r w:rsidRPr="000C59EC">
        <w:rPr>
          <w:rFonts w:asciiTheme="minorHAnsi" w:hAnsiTheme="minorHAnsi"/>
          <w:b/>
          <w:bCs/>
        </w:rPr>
        <w:t>Vfi</w:t>
      </w:r>
      <w:r w:rsidRPr="000C59EC">
        <w:rPr>
          <w:rFonts w:asciiTheme="minorHAnsi" w:hAnsiTheme="minorHAnsi"/>
        </w:rPr>
        <w:t xml:space="preserve">, que asigna el puntaje 1,00 al mejor desempeño de cada factor dentro del grupo. Para factores donde el mejor valor es el menor (costos e impuestos), se aplica la fórmula </w:t>
      </w:r>
      <w:r w:rsidRPr="000C59EC">
        <w:rPr>
          <w:rFonts w:asciiTheme="minorHAnsi" w:hAnsiTheme="minorHAnsi"/>
          <w:b/>
          <w:bCs/>
        </w:rPr>
        <w:t>Vfi = mínimo / valor</w:t>
      </w:r>
      <w:r w:rsidRPr="000C59EC">
        <w:rPr>
          <w:rFonts w:asciiTheme="minorHAnsi" w:hAnsiTheme="minorHAnsi"/>
        </w:rPr>
        <w:t xml:space="preserve">. Para factores donde el mejor valor es el mayor (VAN, beneficio neto, factores cualitativos), se aplica </w:t>
      </w:r>
      <w:r w:rsidRPr="000C59EC">
        <w:rPr>
          <w:rFonts w:asciiTheme="minorHAnsi" w:hAnsiTheme="minorHAnsi"/>
          <w:b/>
          <w:bCs/>
        </w:rPr>
        <w:t>Vfi = valor / máximo</w:t>
      </w:r>
      <w:r w:rsidRPr="000C59EC">
        <w:rPr>
          <w:rFonts w:asciiTheme="minorHAnsi" w:hAnsiTheme="minorHAnsi"/>
        </w:rPr>
        <w:t>. Esto garantiza que todas las comparaciones se realicen en una escala homogénea entre 0 y 1.</w:t>
      </w:r>
    </w:p>
    <w:p w14:paraId="7C261210" w14:textId="77777777" w:rsidR="00096451" w:rsidRPr="000C59EC" w:rsidRDefault="00096451">
      <w:pPr>
        <w:spacing w:before="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799"/>
        <w:gridCol w:w="1580"/>
        <w:gridCol w:w="1580"/>
        <w:gridCol w:w="1579"/>
        <w:gridCol w:w="1036"/>
      </w:tblGrid>
      <w:tr w:rsidR="00096451" w:rsidRPr="000C59EC" w14:paraId="7C261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1"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Factor</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2"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Pond.</w:t>
            </w:r>
          </w:p>
        </w:tc>
        <w:tc>
          <w:tcPr>
            <w:tcW w:w="15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3"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Nicolás</w:t>
            </w:r>
          </w:p>
        </w:tc>
        <w:tc>
          <w:tcPr>
            <w:tcW w:w="15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4"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Alberdi</w:t>
            </w:r>
          </w:p>
        </w:tc>
        <w:tc>
          <w:tcPr>
            <w:tcW w:w="15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5"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San Luis</w:t>
            </w:r>
          </w:p>
        </w:tc>
        <w:tc>
          <w:tcPr>
            <w:tcW w:w="9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16"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Dirección</w:t>
            </w:r>
          </w:p>
        </w:tc>
      </w:tr>
      <w:tr w:rsidR="00096451" w:rsidRPr="000C59EC" w14:paraId="7C261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8" w14:textId="77777777" w:rsidR="00096451" w:rsidRPr="000C59EC" w:rsidRDefault="00757DCB">
            <w:pPr>
              <w:rPr>
                <w:rFonts w:asciiTheme="minorHAnsi" w:hAnsiTheme="minorHAnsi"/>
              </w:rPr>
            </w:pPr>
            <w:r w:rsidRPr="000C59EC">
              <w:rPr>
                <w:rFonts w:asciiTheme="minorHAnsi" w:hAnsiTheme="minorHAnsi"/>
                <w:color w:val="000000"/>
                <w:sz w:val="18"/>
                <w:szCs w:val="18"/>
              </w:rPr>
              <w:t>VAN (tasa 9%)</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0,15</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A"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B"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0,9283</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C"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0,9824</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D"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max</w:t>
            </w:r>
          </w:p>
        </w:tc>
      </w:tr>
      <w:tr w:rsidR="00096451" w:rsidRPr="000C59EC" w14:paraId="7C2612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1F" w14:textId="77777777" w:rsidR="00096451" w:rsidRPr="000C59EC" w:rsidRDefault="00757DCB">
            <w:pPr>
              <w:rPr>
                <w:rFonts w:asciiTheme="minorHAnsi" w:hAnsiTheme="minorHAnsi"/>
              </w:rPr>
            </w:pPr>
            <w:r w:rsidRPr="000C59EC">
              <w:rPr>
                <w:rFonts w:asciiTheme="minorHAnsi" w:hAnsiTheme="minorHAnsi"/>
                <w:color w:val="000000"/>
                <w:sz w:val="18"/>
                <w:szCs w:val="18"/>
              </w:rPr>
              <w:t>Costo transp. MP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0"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0,30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1"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2"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0,4586</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0,3966</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4"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min</w:t>
            </w:r>
          </w:p>
        </w:tc>
      </w:tr>
      <w:tr w:rsidR="00096451" w:rsidRPr="000C59EC" w14:paraId="7C2612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6" w14:textId="77777777" w:rsidR="00096451" w:rsidRPr="000C59EC" w:rsidRDefault="00757DCB">
            <w:pPr>
              <w:rPr>
                <w:rFonts w:asciiTheme="minorHAnsi" w:hAnsiTheme="minorHAnsi"/>
              </w:rPr>
            </w:pPr>
            <w:r w:rsidRPr="000C59EC">
              <w:rPr>
                <w:rFonts w:asciiTheme="minorHAnsi" w:hAnsiTheme="minorHAnsi"/>
                <w:color w:val="000000"/>
                <w:sz w:val="18"/>
                <w:szCs w:val="18"/>
              </w:rPr>
              <w:t>Costo transp. PT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0,25</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0,8670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A"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0,4448</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B"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min</w:t>
            </w:r>
          </w:p>
        </w:tc>
      </w:tr>
      <w:tr w:rsidR="00096451" w:rsidRPr="000C59EC" w14:paraId="7C2612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D" w14:textId="77777777" w:rsidR="00096451" w:rsidRPr="000C59EC" w:rsidRDefault="00757DCB">
            <w:pPr>
              <w:rPr>
                <w:rFonts w:asciiTheme="minorHAnsi" w:hAnsiTheme="minorHAnsi"/>
              </w:rPr>
            </w:pPr>
            <w:r w:rsidRPr="000C59EC">
              <w:rPr>
                <w:rFonts w:asciiTheme="minorHAnsi" w:hAnsiTheme="minorHAnsi"/>
                <w:color w:val="000000"/>
                <w:sz w:val="18"/>
                <w:szCs w:val="18"/>
              </w:rPr>
              <w:t>Beneficio neto</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E"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2F"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0"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0,8846</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1"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0,8950</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2"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max</w:t>
            </w:r>
          </w:p>
        </w:tc>
      </w:tr>
      <w:tr w:rsidR="00096451" w:rsidRPr="000C59EC" w14:paraId="7C261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4" w14:textId="77777777" w:rsidR="00096451" w:rsidRPr="000C59EC" w:rsidRDefault="00757DCB">
            <w:pPr>
              <w:rPr>
                <w:rFonts w:asciiTheme="minorHAnsi" w:hAnsiTheme="minorHAnsi"/>
              </w:rPr>
            </w:pPr>
            <w:r w:rsidRPr="000C59EC">
              <w:rPr>
                <w:rFonts w:asciiTheme="minorHAnsi" w:hAnsiTheme="minorHAnsi"/>
                <w:color w:val="000000"/>
                <w:sz w:val="18"/>
                <w:szCs w:val="18"/>
              </w:rPr>
              <w:t>Impuestos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5"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0,10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6"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0,5289</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0,5989</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9"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min</w:t>
            </w:r>
          </w:p>
        </w:tc>
      </w:tr>
      <w:tr w:rsidR="00096451" w:rsidRPr="000C59EC" w14:paraId="7C2612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B" w14:textId="77777777" w:rsidR="00096451" w:rsidRPr="000C59EC" w:rsidRDefault="00757DCB">
            <w:pPr>
              <w:rPr>
                <w:rFonts w:asciiTheme="minorHAnsi" w:hAnsiTheme="minorHAnsi"/>
              </w:rPr>
            </w:pPr>
            <w:r w:rsidRPr="000C59EC">
              <w:rPr>
                <w:rFonts w:asciiTheme="minorHAnsi" w:hAnsiTheme="minorHAnsi"/>
                <w:color w:val="000000"/>
                <w:sz w:val="18"/>
                <w:szCs w:val="18"/>
              </w:rPr>
              <w:t>Disponibilidad de MO calificada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C"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0,05</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D"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E"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0,6250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3F"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0,5000</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0"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max</w:t>
            </w:r>
          </w:p>
        </w:tc>
      </w:tr>
      <w:tr w:rsidR="00096451" w:rsidRPr="000C59EC" w14:paraId="7C261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2" w14:textId="77777777" w:rsidR="00096451" w:rsidRPr="000C59EC" w:rsidRDefault="00757DCB">
            <w:pPr>
              <w:rPr>
                <w:rFonts w:asciiTheme="minorHAnsi" w:hAnsiTheme="minorHAnsi"/>
              </w:rPr>
            </w:pPr>
            <w:r w:rsidRPr="000C59EC">
              <w:rPr>
                <w:rFonts w:asciiTheme="minorHAnsi" w:hAnsiTheme="minorHAnsi"/>
                <w:color w:val="000000"/>
                <w:sz w:val="18"/>
                <w:szCs w:val="18"/>
              </w:rPr>
              <w:t>Gestión ambiental in situ</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0,05</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4"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0,4444</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5"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1,0000</w:t>
            </w:r>
          </w:p>
        </w:tc>
        <w:tc>
          <w:tcPr>
            <w:tcW w:w="15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6"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0,7778</w:t>
            </w:r>
          </w:p>
        </w:tc>
        <w:tc>
          <w:tcPr>
            <w:tcW w:w="9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4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 max</w:t>
            </w:r>
          </w:p>
        </w:tc>
      </w:tr>
    </w:tbl>
    <w:p w14:paraId="7C261249" w14:textId="77777777" w:rsidR="00096451" w:rsidRPr="000C59EC" w:rsidRDefault="00096451">
      <w:pPr>
        <w:spacing w:before="120"/>
        <w:rPr>
          <w:rFonts w:asciiTheme="minorHAnsi" w:hAnsiTheme="minorHAnsi"/>
        </w:rPr>
      </w:pPr>
    </w:p>
    <w:p w14:paraId="7C26124A"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San Nicolás obtiene el valor normalizado de 1,00 en los tres factores de transporte (MP, PT) y en VAN y beneficio neto, lo que refleja su ventaja dominante en los factores de mayor peso del modelo. San Luis obtiene 1,00 únicamente en el factor impuestos, donde su crédito fiscal marca una diferencia </w:t>
      </w:r>
      <w:r w:rsidRPr="000C59EC">
        <w:rPr>
          <w:rFonts w:asciiTheme="minorHAnsi" w:hAnsiTheme="minorHAnsi"/>
        </w:rPr>
        <w:lastRenderedPageBreak/>
        <w:t>significativa. Alberdi no alcanza el valor máximo en ningún factor, pero mantiene una posición intermedia consistente.</w:t>
      </w:r>
    </w:p>
    <w:p w14:paraId="7C26124B" w14:textId="77777777" w:rsidR="00096451" w:rsidRPr="003B0216" w:rsidRDefault="00757DCB">
      <w:pPr>
        <w:pStyle w:val="Ttulo2"/>
        <w:rPr>
          <w:rFonts w:asciiTheme="minorHAnsi" w:hAnsiTheme="minorHAnsi"/>
          <w:color w:val="auto"/>
        </w:rPr>
      </w:pPr>
      <w:r w:rsidRPr="003B0216">
        <w:rPr>
          <w:rFonts w:asciiTheme="minorHAnsi" w:hAnsiTheme="minorHAnsi"/>
          <w:color w:val="auto"/>
        </w:rPr>
        <w:t>9.3. Puntaje ponderado final y resultado</w:t>
      </w:r>
    </w:p>
    <w:p w14:paraId="7C26124C"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puntaje ponderado final de cada localización se obtiene como la suma del producto entre la ponderación y el valor normalizado de cada factor: </w:t>
      </w:r>
      <w:r w:rsidRPr="000C59EC">
        <w:rPr>
          <w:rFonts w:asciiTheme="minorHAnsi" w:hAnsiTheme="minorHAnsi"/>
          <w:b/>
          <w:bCs/>
        </w:rPr>
        <w:t>Lj = Σ (Pi × Vfi)</w:t>
      </w:r>
      <w:r w:rsidRPr="000C59EC">
        <w:rPr>
          <w:rFonts w:asciiTheme="minorHAnsi" w:hAnsiTheme="minorHAnsi"/>
        </w:rPr>
        <w:t>. El resultado es el siguiente:</w:t>
      </w:r>
    </w:p>
    <w:p w14:paraId="7C26124D" w14:textId="77777777" w:rsidR="00096451" w:rsidRPr="000C59EC" w:rsidRDefault="00096451">
      <w:pPr>
        <w:spacing w:before="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96451" w:rsidRPr="000C59EC" w14:paraId="7C2612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4E"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Localización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4F"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Puntaje ponderado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61250" w14:textId="77777777" w:rsidR="00096451" w:rsidRPr="000C59EC" w:rsidRDefault="00757DCB">
            <w:pPr>
              <w:jc w:val="center"/>
              <w:rPr>
                <w:rFonts w:asciiTheme="minorHAnsi" w:hAnsiTheme="minorHAnsi"/>
              </w:rPr>
            </w:pPr>
            <w:r w:rsidRPr="000C59EC">
              <w:rPr>
                <w:rFonts w:asciiTheme="minorHAnsi" w:hAnsiTheme="minorHAnsi"/>
                <w:b/>
                <w:bCs/>
                <w:color w:val="FFFFFF"/>
                <w:sz w:val="18"/>
                <w:szCs w:val="18"/>
              </w:rPr>
              <w:t>Ranking</w:t>
            </w:r>
          </w:p>
        </w:tc>
      </w:tr>
      <w:tr w:rsidR="00096451" w:rsidRPr="000C59EC" w14:paraId="7C2612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C261252" w14:textId="77777777" w:rsidR="00096451" w:rsidRPr="000C59EC" w:rsidRDefault="00757DCB">
            <w:pPr>
              <w:rPr>
                <w:rFonts w:asciiTheme="minorHAnsi" w:hAnsiTheme="minorHAnsi"/>
              </w:rPr>
            </w:pPr>
            <w:r w:rsidRPr="000C59EC">
              <w:rPr>
                <w:rFonts w:asciiTheme="minorHAnsi" w:hAnsiTheme="minorHAnsi"/>
                <w:b/>
                <w:bCs/>
                <w:color w:val="000000"/>
                <w:sz w:val="18"/>
                <w:szCs w:val="18"/>
              </w:rPr>
              <w:t>San Nicolás</w:t>
            </w:r>
          </w:p>
        </w:tc>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C261253"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0,9251</w:t>
            </w:r>
          </w:p>
        </w:tc>
        <w:tc>
          <w:tcPr>
            <w:tcW w:w="312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C261254" w14:textId="77777777" w:rsidR="00096451" w:rsidRPr="000C59EC" w:rsidRDefault="00757DCB">
            <w:pPr>
              <w:jc w:val="center"/>
              <w:rPr>
                <w:rFonts w:asciiTheme="minorHAnsi" w:hAnsiTheme="minorHAnsi"/>
              </w:rPr>
            </w:pPr>
            <w:r w:rsidRPr="000C59EC">
              <w:rPr>
                <w:rFonts w:asciiTheme="minorHAnsi" w:hAnsiTheme="minorHAnsi"/>
                <w:b/>
                <w:bCs/>
                <w:color w:val="000000"/>
                <w:sz w:val="18"/>
                <w:szCs w:val="18"/>
              </w:rPr>
              <w:t>1°</w:t>
            </w:r>
          </w:p>
        </w:tc>
      </w:tr>
      <w:tr w:rsidR="00096451" w:rsidRPr="000C59EC" w14:paraId="7C2612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6" w14:textId="1C5550D1" w:rsidR="00096451" w:rsidRPr="000C59EC" w:rsidRDefault="00757DCB">
            <w:pPr>
              <w:rPr>
                <w:rFonts w:asciiTheme="minorHAnsi" w:hAnsiTheme="minorHAnsi"/>
              </w:rPr>
            </w:pPr>
            <w:r w:rsidRPr="000C59EC">
              <w:rPr>
                <w:rFonts w:asciiTheme="minorHAnsi" w:hAnsiTheme="minorHAnsi"/>
                <w:color w:val="000000"/>
                <w:sz w:val="18"/>
                <w:szCs w:val="18"/>
              </w:rPr>
              <w:t>Alberdi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7"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0,7232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8"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2°</w:t>
            </w:r>
          </w:p>
        </w:tc>
      </w:tr>
      <w:tr w:rsidR="00096451" w:rsidRPr="000C59EC" w14:paraId="7C2612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A" w14:textId="77777777" w:rsidR="00096451" w:rsidRPr="000C59EC" w:rsidRDefault="00757DCB">
            <w:pPr>
              <w:rPr>
                <w:rFonts w:asciiTheme="minorHAnsi" w:hAnsiTheme="minorHAnsi"/>
              </w:rPr>
            </w:pPr>
            <w:r w:rsidRPr="000C59EC">
              <w:rPr>
                <w:rFonts w:asciiTheme="minorHAnsi" w:hAnsiTheme="minorHAnsi"/>
                <w:color w:val="000000"/>
                <w:sz w:val="18"/>
                <w:szCs w:val="18"/>
              </w:rPr>
              <w:t>San Luis Capital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B"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0,6309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6125C" w14:textId="77777777" w:rsidR="00096451" w:rsidRPr="000C59EC" w:rsidRDefault="00757DCB">
            <w:pPr>
              <w:jc w:val="center"/>
              <w:rPr>
                <w:rFonts w:asciiTheme="minorHAnsi" w:hAnsiTheme="minorHAnsi"/>
              </w:rPr>
            </w:pPr>
            <w:r w:rsidRPr="000C59EC">
              <w:rPr>
                <w:rFonts w:asciiTheme="minorHAnsi" w:hAnsiTheme="minorHAnsi"/>
                <w:color w:val="000000"/>
                <w:sz w:val="18"/>
                <w:szCs w:val="18"/>
              </w:rPr>
              <w:t>3°</w:t>
            </w:r>
          </w:p>
        </w:tc>
      </w:tr>
    </w:tbl>
    <w:p w14:paraId="7C26125E" w14:textId="77777777" w:rsidR="00096451" w:rsidRPr="000C59EC" w:rsidRDefault="00096451">
      <w:pPr>
        <w:spacing w:before="120"/>
        <w:rPr>
          <w:rFonts w:asciiTheme="minorHAnsi" w:hAnsiTheme="minorHAnsi"/>
        </w:rPr>
      </w:pPr>
    </w:p>
    <w:p w14:paraId="7C26125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b/>
          <w:bCs/>
        </w:rPr>
        <w:t>San Nicolás de los Arroyos resulta la localización óptima</w:t>
      </w:r>
      <w:r w:rsidRPr="000C59EC">
        <w:rPr>
          <w:rFonts w:asciiTheme="minorHAnsi" w:hAnsiTheme="minorHAnsi"/>
        </w:rPr>
        <w:t xml:space="preserve"> con un puntaje ponderado de 0,9251, ampliamente superior a Alberdi (0,7232) y San Luis Capital (0,6309). La ventaja de San Nicolás es determinante en los factores de mayor peso del modelo: tiene el costo de transporte de materia prima más bajo del grupo (USD 25.812 por cuchara frente a USD 56.280 y USD 65.088), el costo de transporte de producto terminado más reducido (por la proximidad a Metcon) y el mayor VAN absoluto. Esta convergencia de ventajas en los factores de mayor ponderación explica la robustez</w:t>
      </w:r>
      <w:r w:rsidRPr="000C59EC">
        <w:rPr>
          <w:rFonts w:asciiTheme="minorHAnsi" w:hAnsiTheme="minorHAnsi"/>
        </w:rPr>
        <w:t xml:space="preserve"> del resultado.</w:t>
      </w:r>
    </w:p>
    <w:p w14:paraId="7C261260" w14:textId="77777777" w:rsidR="00096451" w:rsidRPr="003B0216" w:rsidRDefault="00757DCB">
      <w:pPr>
        <w:pStyle w:val="Ttulo1"/>
        <w:rPr>
          <w:rFonts w:asciiTheme="minorHAnsi" w:hAnsiTheme="minorHAnsi"/>
          <w:color w:val="auto"/>
        </w:rPr>
      </w:pPr>
      <w:r w:rsidRPr="003B0216">
        <w:rPr>
          <w:rFonts w:asciiTheme="minorHAnsi" w:hAnsiTheme="minorHAnsi"/>
          <w:color w:val="auto"/>
        </w:rPr>
        <w:t>10. Análisis de variables cualitativas</w:t>
      </w:r>
    </w:p>
    <w:p w14:paraId="7C261261"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Los factores cualitativos incorporados al modelo son la </w:t>
      </w:r>
      <w:r w:rsidRPr="000C59EC">
        <w:rPr>
          <w:rFonts w:asciiTheme="minorHAnsi" w:hAnsiTheme="minorHAnsi"/>
          <w:b/>
          <w:bCs/>
        </w:rPr>
        <w:t>disponibilidad de mano de obra calificada</w:t>
      </w:r>
      <w:r w:rsidRPr="000C59EC">
        <w:rPr>
          <w:rFonts w:asciiTheme="minorHAnsi" w:hAnsiTheme="minorHAnsi"/>
        </w:rPr>
        <w:t xml:space="preserve"> y la </w:t>
      </w:r>
      <w:r w:rsidRPr="000C59EC">
        <w:rPr>
          <w:rFonts w:asciiTheme="minorHAnsi" w:hAnsiTheme="minorHAnsi"/>
          <w:b/>
          <w:bCs/>
        </w:rPr>
        <w:t>gestión ambiental in situ</w:t>
      </w:r>
      <w:r w:rsidRPr="000C59EC">
        <w:rPr>
          <w:rFonts w:asciiTheme="minorHAnsi" w:hAnsiTheme="minorHAnsi"/>
        </w:rPr>
        <w:t>. Ambos se evalúan en una escala de 0 a 10, donde 10 representa las condiciones óptimas para el proyecto. A continuación se detalla el análisis realizado para cada factor y cada localización.</w:t>
      </w:r>
    </w:p>
    <w:p w14:paraId="7C261262" w14:textId="77777777" w:rsidR="00096451" w:rsidRPr="00FD63F3" w:rsidRDefault="00757DCB">
      <w:pPr>
        <w:pStyle w:val="Ttulo2"/>
        <w:rPr>
          <w:rFonts w:asciiTheme="minorHAnsi" w:hAnsiTheme="minorHAnsi"/>
          <w:color w:val="auto"/>
        </w:rPr>
      </w:pPr>
      <w:r w:rsidRPr="00FD63F3">
        <w:rPr>
          <w:rFonts w:asciiTheme="minorHAnsi" w:hAnsiTheme="minorHAnsi"/>
          <w:color w:val="auto"/>
        </w:rPr>
        <w:t>10.1. Disponibilidad de mano de obra calificada</w:t>
      </w:r>
    </w:p>
    <w:p w14:paraId="7C261263"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 fabricación de cucharas de colada requiere perfiles específicos: soldadores con habilitación para acero estructural y refractarios, caldereros, operadores de puente grúa de alta capacidad y personal de mantenimiento mecánico pesado. Estos oficios no son intercambiables con los perfiles de la industria ligera ni con los de la construcción civil.</w:t>
      </w:r>
    </w:p>
    <w:p w14:paraId="7C261264"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b/>
          <w:bCs/>
        </w:rPr>
        <w:t>Criterio de puntaje:</w:t>
      </w:r>
      <w:r w:rsidRPr="000C59EC">
        <w:rPr>
          <w:rFonts w:asciiTheme="minorHAnsi" w:hAnsiTheme="minorHAnsi"/>
        </w:rPr>
        <w:t xml:space="preserve"> 10 = zona con industria siderúrgica pesada establecida, amplia oferta verificable de MO calificada en los oficios requeridos, sin conflictividad laboral severa. 8 = zona con MO especializada en siderurgia pero con conflictividad documentada y recurrente que genera riesgo operativo para una nueva planta. 5 = zona con industria metalmecánica activa orientada a otros rubros, oferta amplia en volumen pero sin especialización siderúrgica, requiere proceso de reconversión. 4 = zona con manufactura liviana, merca</w:t>
      </w:r>
      <w:r w:rsidRPr="000C59EC">
        <w:rPr>
          <w:rFonts w:asciiTheme="minorHAnsi" w:hAnsiTheme="minorHAnsi"/>
        </w:rPr>
        <w:t>do laboral pequeño y ajustado, sin tradición en oficios siderúrgicos, restricción simultánea de volumen y especialización.</w:t>
      </w:r>
    </w:p>
    <w:p w14:paraId="7C261265" w14:textId="39828C38" w:rsidR="00096451" w:rsidRPr="00FD63F3" w:rsidRDefault="00757DCB">
      <w:pPr>
        <w:pStyle w:val="Ttulo3"/>
        <w:rPr>
          <w:rFonts w:asciiTheme="minorHAnsi" w:hAnsiTheme="minorHAnsi"/>
          <w:color w:val="auto"/>
        </w:rPr>
      </w:pPr>
      <w:r w:rsidRPr="00FD63F3">
        <w:rPr>
          <w:rFonts w:asciiTheme="minorHAnsi" w:hAnsiTheme="minorHAnsi"/>
          <w:color w:val="auto"/>
        </w:rPr>
        <w:lastRenderedPageBreak/>
        <w:t>San Nicolás</w:t>
      </w:r>
      <w:r w:rsidRPr="00FD63F3">
        <w:rPr>
          <w:rFonts w:asciiTheme="minorHAnsi" w:hAnsiTheme="minorHAnsi"/>
          <w:color w:val="auto"/>
        </w:rPr>
        <w:t xml:space="preserve"> </w:t>
      </w:r>
      <w:r w:rsidR="00FD63F3">
        <w:rPr>
          <w:rFonts w:asciiTheme="minorHAnsi" w:hAnsiTheme="minorHAnsi"/>
          <w:color w:val="auto"/>
        </w:rPr>
        <w:t xml:space="preserve">- </w:t>
      </w:r>
      <w:r w:rsidRPr="00FD63F3">
        <w:rPr>
          <w:rFonts w:asciiTheme="minorHAnsi" w:hAnsiTheme="minorHAnsi"/>
          <w:color w:val="auto"/>
        </w:rPr>
        <w:t>Puntaje: 8</w:t>
      </w:r>
    </w:p>
    <w:p w14:paraId="7C261266"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El aglomerado San Nicolás–Villa Constitución registró en el cuarto trimestre de 2024 una población total de aproximadamente 200.000 habitantes, con una PEA de 86.000 personas y una tasa de actividad del 43,2% (EPH INDEC Q4 2024). La tasa de desocupación fue del 8,0% en Q4 2024 y ascendió al 9,4% en Q4 2025, posicionando al aglomerado entre los de mayor desempleo de la región pampeana (</w:t>
      </w:r>
      <w:hyperlink r:id="rId8" w:history="1">
        <w:r w:rsidRPr="000C59EC">
          <w:rPr>
            <w:rStyle w:val="Hipervnculo"/>
            <w:rFonts w:asciiTheme="minorHAnsi" w:hAnsiTheme="minorHAnsi"/>
            <w:sz w:val="20"/>
            <w:szCs w:val="20"/>
          </w:rPr>
          <w:t>Infobae, marzo 2026</w:t>
        </w:r>
      </w:hyperlink>
      <w:r w:rsidRPr="000C59EC">
        <w:rPr>
          <w:rFonts w:asciiTheme="minorHAnsi" w:hAnsiTheme="minorHAnsi"/>
        </w:rPr>
        <w:t>).</w:t>
      </w:r>
    </w:p>
    <w:p w14:paraId="7C261267"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principal referencia industrial es la planta General Savio de </w:t>
      </w:r>
      <w:r w:rsidRPr="000C59EC">
        <w:rPr>
          <w:rFonts w:asciiTheme="minorHAnsi" w:hAnsiTheme="minorHAnsi"/>
          <w:b/>
          <w:bCs/>
        </w:rPr>
        <w:t>Ternium Argentina</w:t>
      </w:r>
      <w:r w:rsidRPr="000C59EC">
        <w:rPr>
          <w:rFonts w:asciiTheme="minorHAnsi" w:hAnsiTheme="minorHAnsi"/>
        </w:rPr>
        <w:t xml:space="preserve"> (ex Siderar/Somisa), en operación desde 1960 en el límite de Ramallo y San Nicolás. Es la mayor acería del país, con producción de acero plano para múltiples sectores. Según la propia UOM San Nicolás, el conflicto laboral de 2025 puso en riesgo a </w:t>
      </w:r>
      <w:r w:rsidRPr="000C59EC">
        <w:rPr>
          <w:rFonts w:asciiTheme="minorHAnsi" w:hAnsiTheme="minorHAnsi"/>
          <w:b/>
          <w:bCs/>
        </w:rPr>
        <w:t>7.000 familias</w:t>
      </w:r>
      <w:r w:rsidRPr="000C59EC">
        <w:rPr>
          <w:rFonts w:asciiTheme="minorHAnsi" w:hAnsiTheme="minorHAnsi"/>
        </w:rPr>
        <w:t xml:space="preserve"> entre trabajadores directos e indirectos, cifra que dimensiona la escala del polo metalúrgico regional (</w:t>
      </w:r>
      <w:hyperlink r:id="rId9" w:history="1">
        <w:r w:rsidRPr="000C59EC">
          <w:rPr>
            <w:rStyle w:val="Hipervnculo"/>
            <w:rFonts w:asciiTheme="minorHAnsi" w:hAnsiTheme="minorHAnsi"/>
            <w:sz w:val="20"/>
            <w:szCs w:val="20"/>
          </w:rPr>
          <w:t>Opinando San Nicolás, agosto 2025</w:t>
        </w:r>
      </w:hyperlink>
      <w:r w:rsidRPr="000C59EC">
        <w:rPr>
          <w:rFonts w:asciiTheme="minorHAnsi" w:hAnsiTheme="minorHAnsi"/>
        </w:rPr>
        <w:t>). También opera en la zona Metalúrgica Industrial S.A. (MISA), con 78.000 m² de terreno y 22.000 m² cubiertos dedicados a estructuras metálicas y torres eólicas (</w:t>
      </w:r>
      <w:hyperlink r:id="rId10" w:history="1">
        <w:r w:rsidRPr="000C59EC">
          <w:rPr>
            <w:rStyle w:val="Hipervnculo"/>
            <w:rFonts w:asciiTheme="minorHAnsi" w:hAnsiTheme="minorHAnsi"/>
            <w:sz w:val="20"/>
            <w:szCs w:val="20"/>
          </w:rPr>
          <w:t>misa.com.ar</w:t>
        </w:r>
      </w:hyperlink>
      <w:r w:rsidRPr="000C59EC">
        <w:rPr>
          <w:rFonts w:asciiTheme="minorHAnsi" w:hAnsiTheme="minorHAnsi"/>
        </w:rPr>
        <w:t>).</w:t>
      </w:r>
    </w:p>
    <w:p w14:paraId="7C261268"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 conflictividad laboral documentada es el único factor que impide asignar el puntaje máximo. La UOM Seccional San Nicolás sostuvo un conflicto salarial contra las contratistas de Ternium que escaló en agosto 2025 a paro por tiempo indeterminado, bloqueo de ingreso a 1.200 trabajadores, paralización del alto horno y 220 despidos en la contratista Loberaz. El Ministerio de Trabajo de la Nación dictó conciliación obligatoria no acatada por el gremio (</w:t>
      </w:r>
      <w:hyperlink r:id="rId11" w:history="1">
        <w:r w:rsidRPr="000C59EC">
          <w:rPr>
            <w:rStyle w:val="Hipervnculo"/>
            <w:rFonts w:asciiTheme="minorHAnsi" w:hAnsiTheme="minorHAnsi"/>
            <w:sz w:val="20"/>
            <w:szCs w:val="20"/>
          </w:rPr>
          <w:t>Infobae, agosto 2025</w:t>
        </w:r>
      </w:hyperlink>
      <w:r w:rsidRPr="000C59EC">
        <w:rPr>
          <w:rFonts w:asciiTheme="minorHAnsi" w:hAnsiTheme="minorHAnsi"/>
        </w:rPr>
        <w:t xml:space="preserve">; </w:t>
      </w:r>
      <w:hyperlink r:id="rId12" w:history="1">
        <w:r w:rsidRPr="000C59EC">
          <w:rPr>
            <w:rStyle w:val="Hipervnculo"/>
            <w:rFonts w:asciiTheme="minorHAnsi" w:hAnsiTheme="minorHAnsi"/>
            <w:sz w:val="20"/>
            <w:szCs w:val="20"/>
          </w:rPr>
          <w:t>Infobae, septiembre 2025</w:t>
        </w:r>
      </w:hyperlink>
      <w:r w:rsidRPr="000C59EC">
        <w:rPr>
          <w:rFonts w:asciiTheme="minorHAnsi" w:hAnsiTheme="minorHAnsi"/>
        </w:rPr>
        <w:t xml:space="preserve">; </w:t>
      </w:r>
      <w:hyperlink r:id="rId13" w:history="1">
        <w:r w:rsidRPr="000C59EC">
          <w:rPr>
            <w:rStyle w:val="Hipervnculo"/>
            <w:rFonts w:asciiTheme="minorHAnsi" w:hAnsiTheme="minorHAnsi"/>
            <w:sz w:val="20"/>
            <w:szCs w:val="20"/>
          </w:rPr>
          <w:t>Mundo Gremial</w:t>
        </w:r>
      </w:hyperlink>
      <w:r w:rsidRPr="000C59EC">
        <w:rPr>
          <w:rFonts w:asciiTheme="minorHAnsi" w:hAnsiTheme="minorHAnsi"/>
        </w:rPr>
        <w:t>). Este antecedente representa un riesgo operativo concreto para una nueva planta radicada en la zona, aunque la desocupación del 9,4% también indica que existe MO metalúrgica calificada disponible en el mercado como resultado de las suspensiones.</w:t>
      </w:r>
    </w:p>
    <w:p w14:paraId="7C261269" w14:textId="10C70BE2" w:rsidR="00096451" w:rsidRPr="002105FB" w:rsidRDefault="00757DCB">
      <w:pPr>
        <w:pStyle w:val="Ttulo3"/>
        <w:rPr>
          <w:rFonts w:asciiTheme="minorHAnsi" w:hAnsiTheme="minorHAnsi"/>
          <w:color w:val="auto"/>
        </w:rPr>
      </w:pPr>
      <w:r w:rsidRPr="002105FB">
        <w:rPr>
          <w:rFonts w:asciiTheme="minorHAnsi" w:hAnsiTheme="minorHAnsi"/>
          <w:color w:val="auto"/>
        </w:rPr>
        <w:t>Alberdi</w:t>
      </w:r>
      <w:r w:rsidRPr="002105FB">
        <w:rPr>
          <w:rFonts w:asciiTheme="minorHAnsi" w:hAnsiTheme="minorHAnsi"/>
          <w:color w:val="auto"/>
        </w:rPr>
        <w:t xml:space="preserve"> </w:t>
      </w:r>
      <w:r w:rsidR="002105FB" w:rsidRPr="002105FB">
        <w:rPr>
          <w:rFonts w:asciiTheme="minorHAnsi" w:hAnsiTheme="minorHAnsi"/>
          <w:color w:val="auto"/>
        </w:rPr>
        <w:t>-</w:t>
      </w:r>
      <w:r w:rsidRPr="002105FB">
        <w:rPr>
          <w:rFonts w:asciiTheme="minorHAnsi" w:hAnsiTheme="minorHAnsi"/>
          <w:color w:val="auto"/>
        </w:rPr>
        <w:t xml:space="preserve"> Puntaje: 5</w:t>
      </w:r>
    </w:p>
    <w:p w14:paraId="7C26126A"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 ciudad de Córdoba registró 1.557.011 habitantes en el Censo Nacional 2022, siendo la segunda ciudad más poblada del país (</w:t>
      </w:r>
      <w:hyperlink r:id="rId14" w:history="1">
        <w:r w:rsidRPr="000C59EC">
          <w:rPr>
            <w:rStyle w:val="Hipervnculo"/>
            <w:rFonts w:asciiTheme="minorHAnsi" w:hAnsiTheme="minorHAnsi"/>
            <w:sz w:val="20"/>
            <w:szCs w:val="20"/>
          </w:rPr>
          <w:t>Cadena 3, 2022</w:t>
        </w:r>
      </w:hyperlink>
      <w:r w:rsidRPr="000C59EC">
        <w:rPr>
          <w:rFonts w:asciiTheme="minorHAnsi" w:hAnsiTheme="minorHAnsi"/>
        </w:rPr>
        <w:t>). La PEA del Gran Córdoba se estima en aproximadamente 750.000 personas y la tasa de desocupación fue del 8,8% en Q4 2025 (</w:t>
      </w:r>
      <w:hyperlink r:id="rId15" w:history="1">
        <w:r w:rsidRPr="000C59EC">
          <w:rPr>
            <w:rStyle w:val="Hipervnculo"/>
            <w:rFonts w:asciiTheme="minorHAnsi" w:hAnsiTheme="minorHAnsi"/>
            <w:sz w:val="20"/>
            <w:szCs w:val="20"/>
          </w:rPr>
          <w:t>Infobae, marzo 2026</w:t>
        </w:r>
      </w:hyperlink>
      <w:r w:rsidRPr="000C59EC">
        <w:rPr>
          <w:rFonts w:asciiTheme="minorHAnsi" w:hAnsiTheme="minorHAnsi"/>
        </w:rPr>
        <w:t>).</w:t>
      </w:r>
    </w:p>
    <w:p w14:paraId="7C26126B"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 Cámara de Industriales Metalúrgicos y de Componentes de Córdoba (CIMCC), fundada en 1947, agrupa empresas de matricería, autopartes, aeropartes, motopartes, maquinaria agrícola, fundiciones y carpintería metálica (</w:t>
      </w:r>
      <w:hyperlink r:id="rId16" w:history="1">
        <w:r w:rsidRPr="000C59EC">
          <w:rPr>
            <w:rStyle w:val="Hipervnculo"/>
            <w:rFonts w:asciiTheme="minorHAnsi" w:hAnsiTheme="minorHAnsi"/>
            <w:sz w:val="20"/>
            <w:szCs w:val="20"/>
          </w:rPr>
          <w:t>cimcc.org.ar</w:t>
        </w:r>
      </w:hyperlink>
      <w:r w:rsidRPr="000C59EC">
        <w:rPr>
          <w:rFonts w:asciiTheme="minorHAnsi" w:hAnsiTheme="minorHAnsi"/>
        </w:rPr>
        <w:t>). En el barrio Alto Alberdi se registra Metalúrgica Degiorgis S.A. como empresa socia de la CIMCC (</w:t>
      </w:r>
      <w:hyperlink r:id="rId17" w:history="1">
        <w:r w:rsidRPr="000C59EC">
          <w:rPr>
            <w:rStyle w:val="Hipervnculo"/>
            <w:rFonts w:asciiTheme="minorHAnsi" w:hAnsiTheme="minorHAnsi"/>
            <w:sz w:val="20"/>
            <w:szCs w:val="20"/>
          </w:rPr>
          <w:t>CIMCC directorio</w:t>
        </w:r>
      </w:hyperlink>
      <w:r w:rsidRPr="000C59EC">
        <w:rPr>
          <w:rFonts w:asciiTheme="minorHAnsi" w:hAnsiTheme="minorHAnsi"/>
        </w:rPr>
        <w:t>). Según el censo municipal de 2001, Alto Alberdi contaba con 242 empresas industriales, de las cuales 37 eran metalmecánicas (</w:t>
      </w:r>
      <w:hyperlink r:id="rId18" w:history="1">
        <w:r w:rsidRPr="000C59EC">
          <w:rPr>
            <w:rStyle w:val="Hipervnculo"/>
            <w:rFonts w:asciiTheme="minorHAnsi" w:hAnsiTheme="minorHAnsi"/>
            <w:sz w:val="20"/>
            <w:szCs w:val="20"/>
          </w:rPr>
          <w:t>Wikipedia</w:t>
        </w:r>
      </w:hyperlink>
      <w:r w:rsidRPr="000C59EC">
        <w:rPr>
          <w:rFonts w:asciiTheme="minorHAnsi" w:hAnsiTheme="minorHAnsi"/>
        </w:rPr>
        <w:t>). Otra empresa representativa es Prodismo, con más de 50 años en fabricación de moldes y matrices para la industria autopartista (</w:t>
      </w:r>
      <w:hyperlink r:id="rId19" w:history="1">
        <w:r w:rsidRPr="000C59EC">
          <w:rPr>
            <w:rStyle w:val="Hipervnculo"/>
            <w:rFonts w:asciiTheme="minorHAnsi" w:hAnsiTheme="minorHAnsi"/>
            <w:sz w:val="20"/>
            <w:szCs w:val="20"/>
          </w:rPr>
          <w:t>prodismo.com</w:t>
        </w:r>
      </w:hyperlink>
      <w:r w:rsidRPr="000C59EC">
        <w:rPr>
          <w:rFonts w:asciiTheme="minorHAnsi" w:hAnsiTheme="minorHAnsi"/>
        </w:rPr>
        <w:t>).</w:t>
      </w:r>
    </w:p>
    <w:p w14:paraId="7C26126C"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Si bien el volumen de PEA es amplio y existe tradición metalmecánica, la orientación de la industria cordobesa hacia el sector automotriz (FIAT/Stellantis, Renault) y la matricería de precisión implica una brecha de especialización respecto a los oficios siderúrgicos pesados requeridos. Un operario de línea de ensamble automotriz no es directamente transferible sin reconversión específica en materiales refractarios y manejo de acero líquido. No se registran conflictos gremiales vinculados a metalurgia pesad</w:t>
      </w:r>
      <w:r w:rsidRPr="000C59EC">
        <w:rPr>
          <w:rFonts w:asciiTheme="minorHAnsi" w:hAnsiTheme="minorHAnsi"/>
        </w:rPr>
        <w:t>a en la zona de Alberdi.</w:t>
      </w:r>
    </w:p>
    <w:p w14:paraId="7C26126D" w14:textId="27FEC9B9" w:rsidR="00096451" w:rsidRPr="00B071D2" w:rsidRDefault="00757DCB">
      <w:pPr>
        <w:pStyle w:val="Ttulo3"/>
        <w:rPr>
          <w:rFonts w:asciiTheme="minorHAnsi" w:hAnsiTheme="minorHAnsi"/>
          <w:color w:val="auto"/>
        </w:rPr>
      </w:pPr>
      <w:r w:rsidRPr="00B071D2">
        <w:rPr>
          <w:rFonts w:asciiTheme="minorHAnsi" w:hAnsiTheme="minorHAnsi"/>
          <w:color w:val="auto"/>
        </w:rPr>
        <w:lastRenderedPageBreak/>
        <w:t xml:space="preserve">San Luis Capital </w:t>
      </w:r>
      <w:r w:rsidR="00B071D2">
        <w:rPr>
          <w:rFonts w:asciiTheme="minorHAnsi" w:hAnsiTheme="minorHAnsi"/>
          <w:color w:val="auto"/>
        </w:rPr>
        <w:t>-</w:t>
      </w:r>
      <w:r w:rsidRPr="00B071D2">
        <w:rPr>
          <w:rFonts w:asciiTheme="minorHAnsi" w:hAnsiTheme="minorHAnsi"/>
          <w:color w:val="auto"/>
        </w:rPr>
        <w:t xml:space="preserve"> Puntaje: 4</w:t>
      </w:r>
    </w:p>
    <w:p w14:paraId="7C26126E"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San Luis Capital registró 260.295 habitantes en el Censo 2022, siendo el mercado laboral más pequeño de las tres localizaciones. La PEA se estima en aproximadamente 125.000 personas. El aglomerado Gran San Luis históricamente exhibe una de las tasas de desocupación más bajas del país: 1,8% en Q4 2023 (</w:t>
      </w:r>
      <w:hyperlink r:id="rId20" w:history="1">
        <w:r w:rsidRPr="000C59EC">
          <w:rPr>
            <w:rStyle w:val="Hipervnculo"/>
            <w:rFonts w:asciiTheme="minorHAnsi" w:hAnsiTheme="minorHAnsi"/>
            <w:sz w:val="20"/>
            <w:szCs w:val="20"/>
          </w:rPr>
          <w:t>Diario de Cuyo, 2024</w:t>
        </w:r>
      </w:hyperlink>
      <w:r w:rsidRPr="000C59EC">
        <w:rPr>
          <w:rFonts w:asciiTheme="minorHAnsi" w:hAnsiTheme="minorHAnsi"/>
        </w:rPr>
        <w:t>) y 1,5% en Q4 2025, siendo uno de los tres aglomerados con mayor mejora interanual del país (</w:t>
      </w:r>
      <w:hyperlink r:id="rId21" w:history="1">
        <w:r w:rsidRPr="000C59EC">
          <w:rPr>
            <w:rStyle w:val="Hipervnculo"/>
            <w:rFonts w:asciiTheme="minorHAnsi" w:hAnsiTheme="minorHAnsi"/>
            <w:sz w:val="20"/>
            <w:szCs w:val="20"/>
          </w:rPr>
          <w:t>Infobae, marzo 2026</w:t>
        </w:r>
      </w:hyperlink>
      <w:r w:rsidRPr="000C59EC">
        <w:rPr>
          <w:rFonts w:asciiTheme="minorHAnsi" w:hAnsiTheme="minorHAnsi"/>
        </w:rPr>
        <w:t>).</w:t>
      </w:r>
    </w:p>
    <w:p w14:paraId="7C26126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Esta baja desocupación resulta </w:t>
      </w:r>
      <w:r w:rsidRPr="000C59EC">
        <w:rPr>
          <w:rFonts w:asciiTheme="minorHAnsi" w:hAnsiTheme="minorHAnsi"/>
          <w:b/>
          <w:bCs/>
        </w:rPr>
        <w:t>desfavorable para el proyecto</w:t>
      </w:r>
      <w:r w:rsidRPr="000C59EC">
        <w:rPr>
          <w:rFonts w:asciiTheme="minorHAnsi" w:hAnsiTheme="minorHAnsi"/>
        </w:rPr>
        <w:t>: un mercado laboral pequeño y ajustado implica competir con el empleo público provincial —principal empleador puntano— y con las industrias del parque industrial ya radicadas, lo que presiona los salarios al alza y reduce la oferta disponible. La industria promovida por las Leyes 22.021 y 22.702 desde 1983 fue de manufactura liviana: electrónica de armado, plásticos y textiles (</w:t>
      </w:r>
      <w:hyperlink r:id="rId22" w:history="1">
        <w:r w:rsidRPr="000C59EC">
          <w:rPr>
            <w:rStyle w:val="Hipervnculo"/>
            <w:rFonts w:asciiTheme="minorHAnsi" w:hAnsiTheme="minorHAnsi"/>
            <w:sz w:val="20"/>
            <w:szCs w:val="20"/>
          </w:rPr>
          <w:t>Ley 22.702, Argentina.gob.ar</w:t>
        </w:r>
      </w:hyperlink>
      <w:r w:rsidRPr="000C59EC">
        <w:rPr>
          <w:rFonts w:asciiTheme="minorHAnsi" w:hAnsiTheme="minorHAnsi"/>
        </w:rPr>
        <w:t>). Las empresas metalúrgicas identificadas en el parque industrial (Timysa SRL y T.M.A. S.R.L.) se dedican a servicios generales de corte y plegado de chapas, sin formación de MO en procesos siderúrgicos (</w:t>
      </w:r>
      <w:hyperlink r:id="rId23" w:history="1">
        <w:r w:rsidRPr="000C59EC">
          <w:rPr>
            <w:rStyle w:val="Hipervnculo"/>
            <w:rFonts w:asciiTheme="minorHAnsi" w:hAnsiTheme="minorHAnsi"/>
            <w:sz w:val="20"/>
            <w:szCs w:val="20"/>
          </w:rPr>
          <w:t>argentino.com.ar</w:t>
        </w:r>
      </w:hyperlink>
      <w:r w:rsidRPr="000C59EC">
        <w:rPr>
          <w:rFonts w:asciiTheme="minorHAnsi" w:hAnsiTheme="minorHAnsi"/>
        </w:rPr>
        <w:t>). San Luis presenta una doble restricción de volumen de PEA y ausencia de especialización siderúrgica, lo que implica que una planta radicada aquí dependería de reclutamiento externo a la provincia y capacitación interna desde cero.</w:t>
      </w:r>
    </w:p>
    <w:p w14:paraId="7C261270" w14:textId="77777777" w:rsidR="00096451" w:rsidRPr="00B071D2" w:rsidRDefault="00757DCB">
      <w:pPr>
        <w:pStyle w:val="Ttulo2"/>
        <w:rPr>
          <w:rFonts w:asciiTheme="minorHAnsi" w:hAnsiTheme="minorHAnsi"/>
          <w:color w:val="auto"/>
        </w:rPr>
      </w:pPr>
      <w:r w:rsidRPr="00B071D2">
        <w:rPr>
          <w:rFonts w:asciiTheme="minorHAnsi" w:hAnsiTheme="minorHAnsi"/>
          <w:color w:val="auto"/>
        </w:rPr>
        <w:t>10.2. Gestión ambiental in situ</w:t>
      </w:r>
    </w:p>
    <w:p w14:paraId="7C261271"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La habilitación ambiental es un requisito previo e indispensable para la operación de una planta industrial en cualquiera de las tres localizaciones. El análisis considera tres dimensiones: el marco normativo provincial aplicable, el historial ambiental de la zona y la estimación del Nivel de Complejidad Ambiental (NCA) del proyecto, que determina la categoría del trámite de habilitación.</w:t>
      </w:r>
    </w:p>
    <w:p w14:paraId="7C261272"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b/>
          <w:bCs/>
        </w:rPr>
        <w:t>Marco normativo nacional:</w:t>
      </w:r>
      <w:r w:rsidRPr="000C59EC">
        <w:rPr>
          <w:rFonts w:asciiTheme="minorHAnsi" w:hAnsiTheme="minorHAnsi"/>
        </w:rPr>
        <w:t xml:space="preserve"> El NCA se calcula mediante la fórmula polinómica </w:t>
      </w:r>
      <w:r w:rsidRPr="000C59EC">
        <w:rPr>
          <w:rFonts w:asciiTheme="minorHAnsi" w:hAnsiTheme="minorHAnsi"/>
          <w:b/>
          <w:bCs/>
        </w:rPr>
        <w:t>NCA = Ru + ER + Ri + Di + Lo</w:t>
      </w:r>
      <w:r w:rsidRPr="000C59EC">
        <w:rPr>
          <w:rFonts w:asciiTheme="minorHAnsi" w:hAnsiTheme="minorHAnsi"/>
        </w:rPr>
        <w:t>, establecida por la Resolución SAyDS 1639/2007 (</w:t>
      </w:r>
      <w:hyperlink r:id="rId24" w:history="1">
        <w:r w:rsidRPr="000C59EC">
          <w:rPr>
            <w:rStyle w:val="Hipervnculo"/>
            <w:rFonts w:asciiTheme="minorHAnsi" w:hAnsiTheme="minorHAnsi"/>
            <w:sz w:val="20"/>
            <w:szCs w:val="20"/>
          </w:rPr>
          <w:t>Argentina.gob.ar</w:t>
        </w:r>
      </w:hyperlink>
      <w:r w:rsidRPr="000C59EC">
        <w:rPr>
          <w:rFonts w:asciiTheme="minorHAnsi" w:hAnsiTheme="minorHAnsi"/>
        </w:rPr>
        <w:t>). Las categorías son: Categoría 1 (≤14,5 pts), Categoría 2 (&gt;14,5 y ≤25 pts) y Categoría 3 (&gt;25 pts o con residuos especiales). Las actividades de categoría 2 y 3 requieren seguro ambiental obligatorio (</w:t>
      </w:r>
      <w:hyperlink r:id="rId25" w:history="1">
        <w:r w:rsidRPr="000C59EC">
          <w:rPr>
            <w:rStyle w:val="Hipervnculo"/>
            <w:rFonts w:asciiTheme="minorHAnsi" w:hAnsiTheme="minorHAnsi"/>
            <w:sz w:val="20"/>
            <w:szCs w:val="20"/>
          </w:rPr>
          <w:t>Argentina.gob.ar</w:t>
        </w:r>
      </w:hyperlink>
      <w:r w:rsidRPr="000C59EC">
        <w:rPr>
          <w:rFonts w:asciiTheme="minorHAnsi" w:hAnsiTheme="minorHAnsi"/>
        </w:rPr>
        <w:t>). Para la fabricación de cucharas de colada, el NCA estimado se ubica en categoría 2 o límite de categoría 3 en las tres localizaciones. El componente Lo (localización) es el único que varía significativamente entre sitios y puede inclinar la categoría resultante.</w:t>
      </w:r>
    </w:p>
    <w:p w14:paraId="7C261273"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b/>
          <w:bCs/>
        </w:rPr>
        <w:t>Criterio de puntaje:</w:t>
      </w:r>
      <w:r w:rsidRPr="000C59EC">
        <w:rPr>
          <w:rFonts w:asciiTheme="minorHAnsi" w:hAnsiTheme="minorHAnsi"/>
        </w:rPr>
        <w:t xml:space="preserve"> 10 = sin pasivos ambientales, NCA categoría 1, habilitación ágil. 8 = sin pasivos, NCA categoría 2, proceso estándar. 6 = sin pasivos propios pero zona con historial que genera escrutinio adicional, o NCA categoría 3. 4 = historial ambiental documentado judicialmente en la zona, normativa provincial más exigente con componente Sp adicional, riesgo elevado de categoría 3.</w:t>
      </w:r>
    </w:p>
    <w:p w14:paraId="7C261274" w14:textId="410743C6" w:rsidR="00096451" w:rsidRPr="00B071D2" w:rsidRDefault="00757DCB">
      <w:pPr>
        <w:pStyle w:val="Ttulo3"/>
        <w:rPr>
          <w:rFonts w:asciiTheme="minorHAnsi" w:hAnsiTheme="minorHAnsi"/>
          <w:color w:val="auto"/>
        </w:rPr>
      </w:pPr>
      <w:r w:rsidRPr="00B071D2">
        <w:rPr>
          <w:rFonts w:asciiTheme="minorHAnsi" w:hAnsiTheme="minorHAnsi"/>
          <w:color w:val="auto"/>
        </w:rPr>
        <w:t>Alberdi</w:t>
      </w:r>
      <w:r w:rsidR="00B071D2" w:rsidRPr="00B071D2">
        <w:rPr>
          <w:rFonts w:asciiTheme="minorHAnsi" w:hAnsiTheme="minorHAnsi"/>
          <w:color w:val="auto"/>
        </w:rPr>
        <w:t xml:space="preserve"> -</w:t>
      </w:r>
      <w:r w:rsidRPr="00B071D2">
        <w:rPr>
          <w:rFonts w:asciiTheme="minorHAnsi" w:hAnsiTheme="minorHAnsi"/>
          <w:color w:val="auto"/>
        </w:rPr>
        <w:t xml:space="preserve"> Puntaje: 9</w:t>
      </w:r>
    </w:p>
    <w:p w14:paraId="7C261275"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Provincia de Córdoba exige Evaluación de Impacto Ambiental (EIA) obligatoria para toda actividad industrial de impacto relevante, según la </w:t>
      </w:r>
      <w:r w:rsidRPr="000C59EC">
        <w:rPr>
          <w:rFonts w:asciiTheme="minorHAnsi" w:hAnsiTheme="minorHAnsi"/>
          <w:b/>
          <w:bCs/>
        </w:rPr>
        <w:t>Ley 10.208/2014</w:t>
      </w:r>
      <w:r w:rsidRPr="000C59EC">
        <w:rPr>
          <w:rFonts w:asciiTheme="minorHAnsi" w:hAnsiTheme="minorHAnsi"/>
        </w:rPr>
        <w:t xml:space="preserve"> de Política Ambiental Provincial, que complementa los presupuestos mínimos de la Ley Nacional 25.675 (</w:t>
      </w:r>
      <w:hyperlink r:id="rId26" w:history="1">
        <w:r w:rsidRPr="000C59EC">
          <w:rPr>
            <w:rStyle w:val="Hipervnculo"/>
            <w:rFonts w:asciiTheme="minorHAnsi" w:hAnsiTheme="minorHAnsi"/>
            <w:sz w:val="20"/>
            <w:szCs w:val="20"/>
          </w:rPr>
          <w:t>Argentina.gob.ar</w:t>
        </w:r>
      </w:hyperlink>
      <w:r w:rsidRPr="000C59EC">
        <w:rPr>
          <w:rFonts w:asciiTheme="minorHAnsi" w:hAnsiTheme="minorHAnsi"/>
        </w:rPr>
        <w:t xml:space="preserve">). La categorización por NCA es adoptada a nivel municipal en Córdoba, como documenta la Ordenanza </w:t>
      </w:r>
      <w:r w:rsidRPr="000C59EC">
        <w:rPr>
          <w:rFonts w:asciiTheme="minorHAnsi" w:hAnsiTheme="minorHAnsi"/>
        </w:rPr>
        <w:lastRenderedPageBreak/>
        <w:t>N° 1788/2013 de Colonia Caroya (</w:t>
      </w:r>
      <w:hyperlink r:id="rId27" w:history="1">
        <w:r w:rsidRPr="000C59EC">
          <w:rPr>
            <w:rStyle w:val="Hipervnculo"/>
            <w:rFonts w:asciiTheme="minorHAnsi" w:hAnsiTheme="minorHAnsi"/>
            <w:sz w:val="20"/>
            <w:szCs w:val="20"/>
          </w:rPr>
          <w:t>cdcoloniacaroya.gob.ar</w:t>
        </w:r>
      </w:hyperlink>
      <w:r w:rsidRPr="000C59EC">
        <w:rPr>
          <w:rFonts w:asciiTheme="minorHAnsi" w:hAnsiTheme="minorHAnsi"/>
        </w:rPr>
        <w:t>). El barrio Alto Alberdi no registra pasivos industriales previos vinculados a siderurgia ni a contaminación con metales pesados, lo que implica que el componente Lo del NCA no incorpora penalización por proximidad a zonas ambientalmente comprometidas. El proceso de habilitación ante la Secretaría de Ambiente de Córdoba sigue el trámite estándar de EIA sin escrutinio adicional por antecedentes. El puntaje de 9 y no 10 refleja que el NCA estimado del proyecto cae en categoría 2, que implica un proceso más c</w:t>
      </w:r>
      <w:r w:rsidRPr="000C59EC">
        <w:rPr>
          <w:rFonts w:asciiTheme="minorHAnsi" w:hAnsiTheme="minorHAnsi"/>
        </w:rPr>
        <w:t>omplejo que una industria de categoría 1.</w:t>
      </w:r>
    </w:p>
    <w:p w14:paraId="7C261276" w14:textId="33626DC5" w:rsidR="00096451" w:rsidRPr="00B071D2" w:rsidRDefault="00757DCB">
      <w:pPr>
        <w:pStyle w:val="Ttulo3"/>
        <w:rPr>
          <w:rFonts w:asciiTheme="minorHAnsi" w:hAnsiTheme="minorHAnsi"/>
          <w:color w:val="auto"/>
        </w:rPr>
      </w:pPr>
      <w:r w:rsidRPr="00B071D2">
        <w:rPr>
          <w:rFonts w:asciiTheme="minorHAnsi" w:hAnsiTheme="minorHAnsi"/>
          <w:color w:val="auto"/>
        </w:rPr>
        <w:t xml:space="preserve">San Luis Capital </w:t>
      </w:r>
      <w:r w:rsidR="00B071D2">
        <w:rPr>
          <w:rFonts w:asciiTheme="minorHAnsi" w:hAnsiTheme="minorHAnsi"/>
          <w:color w:val="auto"/>
        </w:rPr>
        <w:t>-</w:t>
      </w:r>
      <w:r w:rsidRPr="00B071D2">
        <w:rPr>
          <w:rFonts w:asciiTheme="minorHAnsi" w:hAnsiTheme="minorHAnsi"/>
          <w:color w:val="auto"/>
        </w:rPr>
        <w:t xml:space="preserve"> Puntaje: 7</w:t>
      </w:r>
    </w:p>
    <w:p w14:paraId="7C261277"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Provincia de San Luis cuenta con la </w:t>
      </w:r>
      <w:r w:rsidRPr="000C59EC">
        <w:rPr>
          <w:rFonts w:asciiTheme="minorHAnsi" w:hAnsiTheme="minorHAnsi"/>
          <w:b/>
          <w:bCs/>
        </w:rPr>
        <w:t>Ley IX-0876/2013</w:t>
      </w:r>
      <w:r w:rsidRPr="000C59EC">
        <w:rPr>
          <w:rFonts w:asciiTheme="minorHAnsi" w:hAnsiTheme="minorHAnsi"/>
        </w:rPr>
        <w:t xml:space="preserve"> de Evaluación de Impacto Ambiental, de aplicación obligatoria para toda actividad industrial, administrada por la Secretaría de Ambiente provincial (</w:t>
      </w:r>
      <w:hyperlink r:id="rId28" w:history="1">
        <w:r w:rsidRPr="000C59EC">
          <w:rPr>
            <w:rStyle w:val="Hipervnculo"/>
            <w:rFonts w:asciiTheme="minorHAnsi" w:hAnsiTheme="minorHAnsi"/>
            <w:sz w:val="20"/>
            <w:szCs w:val="20"/>
          </w:rPr>
          <w:t>ambiente.sanluis.gov.ar</w:t>
        </w:r>
      </w:hyperlink>
      <w:r w:rsidRPr="000C59EC">
        <w:rPr>
          <w:rFonts w:asciiTheme="minorHAnsi" w:hAnsiTheme="minorHAnsi"/>
        </w:rPr>
        <w:t>). El régimen de parques industriales (Ley 5690–VIII-0246-2004) incluye la aprobación ambiental del proyecto como requisito de radicación (</w:t>
      </w:r>
      <w:hyperlink r:id="rId29" w:history="1">
        <w:r w:rsidRPr="000C59EC">
          <w:rPr>
            <w:rStyle w:val="Hipervnculo"/>
            <w:rFonts w:asciiTheme="minorHAnsi" w:hAnsiTheme="minorHAnsi"/>
            <w:sz w:val="20"/>
            <w:szCs w:val="20"/>
          </w:rPr>
          <w:t>mercojuris.com</w:t>
        </w:r>
      </w:hyperlink>
      <w:r w:rsidRPr="000C59EC">
        <w:rPr>
          <w:rFonts w:asciiTheme="minorHAnsi" w:hAnsiTheme="minorHAnsi"/>
        </w:rPr>
        <w:t>). No hay pasivos ambientales siderúrgicos en la zona. Sin embargo, el sistema provincial de EIA tiene menor experiencia acumulada en la evaluación de proyectos de alta complejidad técnica que involucran procesos con acero líquido y materiales refractarios, lo que puede traducirse en procesos de revisión más extensos por falta de criterios estandarizados para ese tipo de industria.</w:t>
      </w:r>
    </w:p>
    <w:p w14:paraId="7C261278" w14:textId="0510B42B" w:rsidR="00096451" w:rsidRPr="00B071D2" w:rsidRDefault="00757DCB">
      <w:pPr>
        <w:pStyle w:val="Ttulo3"/>
        <w:rPr>
          <w:rFonts w:asciiTheme="minorHAnsi" w:hAnsiTheme="minorHAnsi"/>
          <w:color w:val="auto"/>
        </w:rPr>
      </w:pPr>
      <w:r w:rsidRPr="00B071D2">
        <w:rPr>
          <w:rFonts w:asciiTheme="minorHAnsi" w:hAnsiTheme="minorHAnsi"/>
          <w:color w:val="auto"/>
        </w:rPr>
        <w:t>San Nicolás</w:t>
      </w:r>
      <w:r w:rsidR="00B071D2">
        <w:rPr>
          <w:rFonts w:asciiTheme="minorHAnsi" w:hAnsiTheme="minorHAnsi"/>
          <w:color w:val="auto"/>
        </w:rPr>
        <w:t xml:space="preserve"> -</w:t>
      </w:r>
      <w:r w:rsidRPr="00B071D2">
        <w:rPr>
          <w:rFonts w:asciiTheme="minorHAnsi" w:hAnsiTheme="minorHAnsi"/>
          <w:color w:val="auto"/>
        </w:rPr>
        <w:t xml:space="preserve"> Puntaje: 4</w:t>
      </w:r>
    </w:p>
    <w:p w14:paraId="7C261279"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Buenos Aires aplica la </w:t>
      </w:r>
      <w:r w:rsidRPr="000C59EC">
        <w:rPr>
          <w:rFonts w:asciiTheme="minorHAnsi" w:hAnsiTheme="minorHAnsi"/>
          <w:b/>
          <w:bCs/>
        </w:rPr>
        <w:t>Ley 11.459</w:t>
      </w:r>
      <w:r w:rsidRPr="000C59EC">
        <w:rPr>
          <w:rFonts w:asciiTheme="minorHAnsi" w:hAnsiTheme="minorHAnsi"/>
        </w:rPr>
        <w:t xml:space="preserve"> reglamentada por el Decreto 531/19, que incorporó el componente adicional </w:t>
      </w:r>
      <w:r w:rsidRPr="000C59EC">
        <w:rPr>
          <w:rFonts w:asciiTheme="minorHAnsi" w:hAnsiTheme="minorHAnsi"/>
          <w:b/>
          <w:bCs/>
        </w:rPr>
        <w:t>Sp (sustancias peligrosas)</w:t>
      </w:r>
      <w:r w:rsidRPr="000C59EC">
        <w:rPr>
          <w:rFonts w:asciiTheme="minorHAnsi" w:hAnsiTheme="minorHAnsi"/>
        </w:rPr>
        <w:t xml:space="preserve"> al cálculo del NCA, aumentando la carga regulatoria respecto de las otras provincias para el mismo tipo de industria. El procedimiento de Clasificación de NCA está regulado por la Resolución OPDS 494/19 (</w:t>
      </w:r>
      <w:hyperlink r:id="rId30" w:history="1">
        <w:r w:rsidRPr="000C59EC">
          <w:rPr>
            <w:rStyle w:val="Hipervnculo"/>
            <w:rFonts w:asciiTheme="minorHAnsi" w:hAnsiTheme="minorHAnsi"/>
            <w:sz w:val="20"/>
            <w:szCs w:val="20"/>
          </w:rPr>
          <w:t>Argentina.gob.ar</w:t>
        </w:r>
      </w:hyperlink>
      <w:r w:rsidRPr="000C59EC">
        <w:rPr>
          <w:rFonts w:asciiTheme="minorHAnsi" w:hAnsiTheme="minorHAnsi"/>
        </w:rPr>
        <w:t xml:space="preserve">; </w:t>
      </w:r>
      <w:hyperlink r:id="rId31" w:history="1">
        <w:r w:rsidRPr="000C59EC">
          <w:rPr>
            <w:rStyle w:val="Hipervnculo"/>
            <w:rFonts w:asciiTheme="minorHAnsi" w:hAnsiTheme="minorHAnsi"/>
            <w:sz w:val="20"/>
            <w:szCs w:val="20"/>
          </w:rPr>
          <w:t>ArgentinAmbiental</w:t>
        </w:r>
      </w:hyperlink>
      <w:r w:rsidRPr="000C59EC">
        <w:rPr>
          <w:rFonts w:asciiTheme="minorHAnsi" w:hAnsiTheme="minorHAnsi"/>
        </w:rPr>
        <w:t xml:space="preserve">; </w:t>
      </w:r>
      <w:hyperlink r:id="rId32" w:history="1">
        <w:r w:rsidRPr="000C59EC">
          <w:rPr>
            <w:rStyle w:val="Hipervnculo"/>
            <w:rFonts w:asciiTheme="minorHAnsi" w:hAnsiTheme="minorHAnsi"/>
            <w:sz w:val="20"/>
            <w:szCs w:val="20"/>
          </w:rPr>
          <w:t>Marval O'Farrell</w:t>
        </w:r>
      </w:hyperlink>
      <w:r w:rsidRPr="000C59EC">
        <w:rPr>
          <w:rFonts w:asciiTheme="minorHAnsi" w:hAnsiTheme="minorHAnsi"/>
        </w:rPr>
        <w:t>).</w:t>
      </w:r>
    </w:p>
    <w:p w14:paraId="7C26127A"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La zona tiene un historial ambiental documentado judicialmente que la distingue de las otras dos alternativas. La Cámara Federal de Casación Penal ordenó continuar la investigación penal contra </w:t>
      </w:r>
      <w:r w:rsidRPr="000C59EC">
        <w:rPr>
          <w:rFonts w:asciiTheme="minorHAnsi" w:hAnsiTheme="minorHAnsi"/>
          <w:b/>
          <w:bCs/>
        </w:rPr>
        <w:t>Ternium Argentina S.A.</w:t>
      </w:r>
      <w:r w:rsidRPr="000C59EC">
        <w:rPr>
          <w:rFonts w:asciiTheme="minorHAnsi" w:hAnsiTheme="minorHAnsi"/>
        </w:rPr>
        <w:t xml:space="preserve"> (ex Siderar) por contaminación del Río Paraná y aguas subterráneas con metales pesados —níquel, cobre, plomo y cromo— por encima de los límites permitidos, acreditado por análisis de la División de Delitos Ambientales de la Policía Federal. La empresa fue intimada en 2011 por la Secretaría de Ambiente por operar sin permiso ambiental vigente, condición que se mantenía al momento de la causa (</w:t>
      </w:r>
      <w:hyperlink r:id="rId33" w:history="1">
        <w:r w:rsidRPr="000C59EC">
          <w:rPr>
            <w:rStyle w:val="Hipervnculo"/>
            <w:rFonts w:asciiTheme="minorHAnsi" w:hAnsiTheme="minorHAnsi"/>
            <w:sz w:val="20"/>
            <w:szCs w:val="20"/>
          </w:rPr>
          <w:t>Agencia Tierra Viva</w:t>
        </w:r>
      </w:hyperlink>
      <w:r w:rsidRPr="000C59EC">
        <w:rPr>
          <w:rFonts w:asciiTheme="minorHAnsi" w:hAnsiTheme="minorHAnsi"/>
        </w:rPr>
        <w:t>). Este historial tiene dos consecuencias directas para una nueva planta: el componente Lo del NCA puede recibir mayor puntaje por localización en área con antecedentes de contaminación, elevando el NCA total hacia categoría 3; y el OPDS/Ministerio de Ambiente de PBA somete los nuevos proyectos industriales en esta zona a mayor escrutinio regulatorio, aunque la nueva empresa no tenga ninguna relación con Ternium.</w:t>
      </w:r>
    </w:p>
    <w:p w14:paraId="7C26127B" w14:textId="77777777" w:rsidR="00096451" w:rsidRPr="00757DCB" w:rsidRDefault="00757DCB">
      <w:pPr>
        <w:pStyle w:val="Ttulo1"/>
        <w:rPr>
          <w:rFonts w:asciiTheme="minorHAnsi" w:hAnsiTheme="minorHAnsi"/>
          <w:color w:val="auto"/>
        </w:rPr>
      </w:pPr>
      <w:r w:rsidRPr="00757DCB">
        <w:rPr>
          <w:rFonts w:asciiTheme="minorHAnsi" w:hAnsiTheme="minorHAnsi"/>
          <w:color w:val="auto"/>
        </w:rPr>
        <w:t>11. Conclusión</w:t>
      </w:r>
    </w:p>
    <w:p w14:paraId="7C26127C" w14:textId="1DE25A59"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El análisis combinado de factores cuantitativos y cualitativos identifica a </w:t>
      </w:r>
      <w:r w:rsidRPr="000C59EC">
        <w:rPr>
          <w:rFonts w:asciiTheme="minorHAnsi" w:hAnsiTheme="minorHAnsi"/>
          <w:b/>
          <w:bCs/>
        </w:rPr>
        <w:t>San Nicolás</w:t>
      </w:r>
      <w:r w:rsidRPr="000C59EC">
        <w:rPr>
          <w:rFonts w:asciiTheme="minorHAnsi" w:hAnsiTheme="minorHAnsi"/>
        </w:rPr>
        <w:t xml:space="preserve"> como la localización óptima para la instalación de la planta, con un puntaje ponderado de </w:t>
      </w:r>
      <w:r w:rsidRPr="000C59EC">
        <w:rPr>
          <w:rFonts w:asciiTheme="minorHAnsi" w:hAnsiTheme="minorHAnsi"/>
          <w:b/>
          <w:bCs/>
        </w:rPr>
        <w:t>0,9251</w:t>
      </w:r>
      <w:r w:rsidRPr="000C59EC">
        <w:rPr>
          <w:rFonts w:asciiTheme="minorHAnsi" w:hAnsiTheme="minorHAnsi"/>
        </w:rPr>
        <w:t xml:space="preserve">, significativamente superior a Alberdi (0,7232) y San Luis Capital (0,6309). La ventaja de San Nicolás se asienta en factores de alta ponderación: su proximidad al AMBA reduce el costo de transporte de </w:t>
      </w:r>
      <w:r w:rsidRPr="000C59EC">
        <w:rPr>
          <w:rFonts w:asciiTheme="minorHAnsi" w:hAnsiTheme="minorHAnsi"/>
        </w:rPr>
        <w:lastRenderedPageBreak/>
        <w:t>materia prima a USD 25.812 por cuchara, menos de la mitad que Alberdi y un tercio que San Luis; la cercanía al cliente Metcon minimiza el costo de transporte de producto terminado; y el VAN del proyecto (USD 1.40</w:t>
      </w:r>
      <w:r w:rsidRPr="000C59EC">
        <w:rPr>
          <w:rFonts w:asciiTheme="minorHAnsi" w:hAnsiTheme="minorHAnsi"/>
        </w:rPr>
        <w:t>5.669) es el más alto del grupo.</w:t>
      </w:r>
    </w:p>
    <w:p w14:paraId="7C26127D"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Los factores cualitativos refuerzan parcialmente esta conclusión en lo que respecta a la disponibilidad de mano de obra (puntaje 8), donde el polo metalúrgico de Ternium y su red de contratistas garantizan una oferta de trabajadores calificados sin equivalente en las otras localizaciones. La gestión ambiental es el único factor cualitativo donde San Nicolás ocupa el último lugar (puntaje 4), dado el historial de contaminación documentado judicialmente en la zona y la normativa más exigente de la Provincia d</w:t>
      </w:r>
      <w:r w:rsidRPr="000C59EC">
        <w:rPr>
          <w:rFonts w:asciiTheme="minorHAnsi" w:hAnsiTheme="minorHAnsi"/>
        </w:rPr>
        <w:t>e Buenos Aires, que incorpora el componente Sp al cálculo del NCA.</w:t>
      </w:r>
    </w:p>
    <w:p w14:paraId="7C26127E" w14:textId="0FB0BE95"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San Luis Capital presenta la TIR más alta (23,29%) y los menores impuestos totales gracias al crédito fiscal de la Ley 22.702, pero sus desventajas en </w:t>
      </w:r>
      <w:r w:rsidRPr="000C59EC">
        <w:rPr>
          <w:rFonts w:asciiTheme="minorHAnsi" w:hAnsiTheme="minorHAnsi"/>
        </w:rPr>
        <w:t>y la reducida disponibilidad de MO calificada la relegan al tercer lugar. Alberdi ocupa una posición intermedia en todos los factores, sin destacarse en ninguno de forma determinante.</w:t>
      </w:r>
    </w:p>
    <w:p w14:paraId="7C26127F" w14:textId="77777777" w:rsidR="00096451" w:rsidRPr="000C59EC" w:rsidRDefault="00757DCB">
      <w:pPr>
        <w:spacing w:before="60" w:after="100" w:line="276" w:lineRule="auto"/>
        <w:jc w:val="both"/>
        <w:rPr>
          <w:rFonts w:asciiTheme="minorHAnsi" w:hAnsiTheme="minorHAnsi"/>
        </w:rPr>
      </w:pPr>
      <w:r w:rsidRPr="000C59EC">
        <w:rPr>
          <w:rFonts w:asciiTheme="minorHAnsi" w:hAnsiTheme="minorHAnsi"/>
        </w:rPr>
        <w:t xml:space="preserve">En síntesis, </w:t>
      </w:r>
      <w:r w:rsidRPr="000C59EC">
        <w:rPr>
          <w:rFonts w:asciiTheme="minorHAnsi" w:hAnsiTheme="minorHAnsi"/>
          <w:b/>
          <w:bCs/>
        </w:rPr>
        <w:t>San Nicolás es la localización que maximiza el valor económico del proyecto</w:t>
      </w:r>
      <w:r w:rsidRPr="000C59EC">
        <w:rPr>
          <w:rFonts w:asciiTheme="minorHAnsi" w:hAnsiTheme="minorHAnsi"/>
        </w:rPr>
        <w:t xml:space="preserve"> en el horizonte de análisis de cinco años, y presenta la base industrial más adecuada para el tipo de producto a fabricar. La conflictividad laboral y las exigencias ambientales son riesgos identificados y gestionables, que no modifican la conclusión del análisis.</w:t>
      </w:r>
    </w:p>
    <w:sectPr w:rsidR="00096451" w:rsidRPr="000C59EC">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61286" w14:textId="77777777" w:rsidR="00757DCB" w:rsidRDefault="00757DCB">
      <w:r>
        <w:separator/>
      </w:r>
    </w:p>
  </w:endnote>
  <w:endnote w:type="continuationSeparator" w:id="0">
    <w:p w14:paraId="7C261288" w14:textId="77777777" w:rsidR="00757DCB" w:rsidRDefault="00757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1281" w14:textId="0D10EC6F" w:rsidR="00096451" w:rsidRDefault="00757DCB">
    <w:pPr>
      <w:pBdr>
        <w:top w:val="single" w:sz="6" w:space="1" w:color="1F3864"/>
      </w:pBdr>
      <w:jc w:val="right"/>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D22051">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D2205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61282" w14:textId="77777777" w:rsidR="00757DCB" w:rsidRDefault="00757DCB">
      <w:r>
        <w:separator/>
      </w:r>
    </w:p>
  </w:footnote>
  <w:footnote w:type="continuationSeparator" w:id="0">
    <w:p w14:paraId="7C261284" w14:textId="77777777" w:rsidR="00757DCB" w:rsidRDefault="00757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1280" w14:textId="3305FBC3" w:rsidR="00096451" w:rsidRPr="002B3FAA" w:rsidRDefault="00757DCB">
    <w:pPr>
      <w:pBdr>
        <w:bottom w:val="single" w:sz="6" w:space="1" w:color="1F3864"/>
      </w:pBdr>
      <w:rPr>
        <w:rFonts w:asciiTheme="minorHAnsi" w:hAnsiTheme="minorHAnsi"/>
      </w:rPr>
    </w:pPr>
    <w:r w:rsidRPr="002B3FAA">
      <w:rPr>
        <w:rFonts w:asciiTheme="minorHAnsi" w:hAnsiTheme="minorHAnsi"/>
        <w:color w:val="555555"/>
        <w:sz w:val="18"/>
        <w:szCs w:val="18"/>
      </w:rPr>
      <w:t xml:space="preserve">Trabajo Práctico N°1 </w:t>
    </w:r>
    <w:r w:rsidR="002B3FAA">
      <w:rPr>
        <w:rFonts w:asciiTheme="minorHAnsi" w:hAnsiTheme="minorHAnsi"/>
        <w:color w:val="555555"/>
        <w:sz w:val="18"/>
        <w:szCs w:val="18"/>
      </w:rPr>
      <w:t>-</w:t>
    </w:r>
    <w:r w:rsidRPr="002B3FAA">
      <w:rPr>
        <w:rFonts w:asciiTheme="minorHAnsi" w:hAnsiTheme="minorHAnsi"/>
        <w:color w:val="555555"/>
        <w:sz w:val="18"/>
        <w:szCs w:val="18"/>
      </w:rPr>
      <w:t xml:space="preserve"> Localización de Plantas | Grupo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A31A6"/>
    <w:multiLevelType w:val="hybridMultilevel"/>
    <w:tmpl w:val="E6E2041C"/>
    <w:lvl w:ilvl="0" w:tplc="F3D274BE">
      <w:start w:val="1"/>
      <w:numFmt w:val="bullet"/>
      <w:lvlText w:val="●"/>
      <w:lvlJc w:val="left"/>
      <w:pPr>
        <w:ind w:left="720" w:hanging="360"/>
      </w:pPr>
    </w:lvl>
    <w:lvl w:ilvl="1" w:tplc="1430DE88">
      <w:start w:val="1"/>
      <w:numFmt w:val="bullet"/>
      <w:lvlText w:val="○"/>
      <w:lvlJc w:val="left"/>
      <w:pPr>
        <w:ind w:left="1440" w:hanging="360"/>
      </w:pPr>
    </w:lvl>
    <w:lvl w:ilvl="2" w:tplc="80C4476E">
      <w:start w:val="1"/>
      <w:numFmt w:val="bullet"/>
      <w:lvlText w:val="■"/>
      <w:lvlJc w:val="left"/>
      <w:pPr>
        <w:ind w:left="2160" w:hanging="360"/>
      </w:pPr>
    </w:lvl>
    <w:lvl w:ilvl="3" w:tplc="AE4C3116">
      <w:start w:val="1"/>
      <w:numFmt w:val="bullet"/>
      <w:lvlText w:val="●"/>
      <w:lvlJc w:val="left"/>
      <w:pPr>
        <w:ind w:left="2880" w:hanging="360"/>
      </w:pPr>
    </w:lvl>
    <w:lvl w:ilvl="4" w:tplc="7B307B70">
      <w:start w:val="1"/>
      <w:numFmt w:val="bullet"/>
      <w:lvlText w:val="○"/>
      <w:lvlJc w:val="left"/>
      <w:pPr>
        <w:ind w:left="3600" w:hanging="360"/>
      </w:pPr>
    </w:lvl>
    <w:lvl w:ilvl="5" w:tplc="F6B4D9AC">
      <w:start w:val="1"/>
      <w:numFmt w:val="bullet"/>
      <w:lvlText w:val="■"/>
      <w:lvlJc w:val="left"/>
      <w:pPr>
        <w:ind w:left="4320" w:hanging="360"/>
      </w:pPr>
    </w:lvl>
    <w:lvl w:ilvl="6" w:tplc="22E4E93E">
      <w:start w:val="1"/>
      <w:numFmt w:val="bullet"/>
      <w:lvlText w:val="●"/>
      <w:lvlJc w:val="left"/>
      <w:pPr>
        <w:ind w:left="5040" w:hanging="360"/>
      </w:pPr>
    </w:lvl>
    <w:lvl w:ilvl="7" w:tplc="A3488A8E">
      <w:start w:val="1"/>
      <w:numFmt w:val="bullet"/>
      <w:lvlText w:val="●"/>
      <w:lvlJc w:val="left"/>
      <w:pPr>
        <w:ind w:left="5760" w:hanging="360"/>
      </w:pPr>
    </w:lvl>
    <w:lvl w:ilvl="8" w:tplc="0F605BA0">
      <w:start w:val="1"/>
      <w:numFmt w:val="bullet"/>
      <w:lvlText w:val="●"/>
      <w:lvlJc w:val="left"/>
      <w:pPr>
        <w:ind w:left="6480" w:hanging="360"/>
      </w:pPr>
    </w:lvl>
  </w:abstractNum>
  <w:abstractNum w:abstractNumId="1" w15:restartNumberingAfterBreak="0">
    <w:nsid w:val="7AB5332A"/>
    <w:multiLevelType w:val="hybridMultilevel"/>
    <w:tmpl w:val="19D0A0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9117667">
    <w:abstractNumId w:val="0"/>
    <w:lvlOverride w:ilvl="0">
      <w:startOverride w:val="1"/>
    </w:lvlOverride>
  </w:num>
  <w:num w:numId="2" w16cid:durableId="2008554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451"/>
    <w:rsid w:val="000200D7"/>
    <w:rsid w:val="00096451"/>
    <w:rsid w:val="000C59EC"/>
    <w:rsid w:val="00100D6C"/>
    <w:rsid w:val="002105FB"/>
    <w:rsid w:val="002B3FAA"/>
    <w:rsid w:val="003B0216"/>
    <w:rsid w:val="00757DCB"/>
    <w:rsid w:val="007D35B9"/>
    <w:rsid w:val="007F36A0"/>
    <w:rsid w:val="008062E2"/>
    <w:rsid w:val="0080720C"/>
    <w:rsid w:val="009476AB"/>
    <w:rsid w:val="00983E0F"/>
    <w:rsid w:val="009B59A5"/>
    <w:rsid w:val="00B071D2"/>
    <w:rsid w:val="00D103EF"/>
    <w:rsid w:val="00D22051"/>
    <w:rsid w:val="00F67A90"/>
    <w:rsid w:val="00FD63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1189"/>
  <w15:docId w15:val="{0EF5492D-4B7F-40EF-AF87-E1EA95EE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80" w:after="80"/>
      <w:outlineLvl w:val="1"/>
    </w:pPr>
    <w:rPr>
      <w:b/>
      <w:bCs/>
      <w:color w:val="2E5090"/>
      <w:sz w:val="26"/>
      <w:szCs w:val="26"/>
    </w:rPr>
  </w:style>
  <w:style w:type="paragraph" w:styleId="Ttulo3">
    <w:name w:val="heading 3"/>
    <w:uiPriority w:val="9"/>
    <w:unhideWhenUsed/>
    <w:qFormat/>
    <w:pPr>
      <w:spacing w:before="200" w:after="6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B3FAA"/>
    <w:pPr>
      <w:tabs>
        <w:tab w:val="center" w:pos="4252"/>
        <w:tab w:val="right" w:pos="8504"/>
      </w:tabs>
    </w:pPr>
  </w:style>
  <w:style w:type="character" w:customStyle="1" w:styleId="EncabezadoCar">
    <w:name w:val="Encabezado Car"/>
    <w:basedOn w:val="Fuentedeprrafopredeter"/>
    <w:link w:val="Encabezado"/>
    <w:uiPriority w:val="99"/>
    <w:rsid w:val="002B3FAA"/>
  </w:style>
  <w:style w:type="paragraph" w:styleId="Piedepgina">
    <w:name w:val="footer"/>
    <w:basedOn w:val="Normal"/>
    <w:link w:val="PiedepginaCar"/>
    <w:uiPriority w:val="99"/>
    <w:unhideWhenUsed/>
    <w:rsid w:val="002B3FAA"/>
    <w:pPr>
      <w:tabs>
        <w:tab w:val="center" w:pos="4252"/>
        <w:tab w:val="right" w:pos="8504"/>
      </w:tabs>
    </w:pPr>
  </w:style>
  <w:style w:type="character" w:customStyle="1" w:styleId="PiedepginaCar">
    <w:name w:val="Pie de página Car"/>
    <w:basedOn w:val="Fuentedeprrafopredeter"/>
    <w:link w:val="Piedepgina"/>
    <w:uiPriority w:val="99"/>
    <w:rsid w:val="002B3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2671">
      <w:bodyDiv w:val="1"/>
      <w:marLeft w:val="0"/>
      <w:marRight w:val="0"/>
      <w:marTop w:val="0"/>
      <w:marBottom w:val="0"/>
      <w:divBdr>
        <w:top w:val="none" w:sz="0" w:space="0" w:color="auto"/>
        <w:left w:val="none" w:sz="0" w:space="0" w:color="auto"/>
        <w:bottom w:val="none" w:sz="0" w:space="0" w:color="auto"/>
        <w:right w:val="none" w:sz="0" w:space="0" w:color="auto"/>
      </w:divBdr>
    </w:div>
    <w:div w:id="1175264078">
      <w:bodyDiv w:val="1"/>
      <w:marLeft w:val="0"/>
      <w:marRight w:val="0"/>
      <w:marTop w:val="0"/>
      <w:marBottom w:val="0"/>
      <w:divBdr>
        <w:top w:val="none" w:sz="0" w:space="0" w:color="auto"/>
        <w:left w:val="none" w:sz="0" w:space="0" w:color="auto"/>
        <w:bottom w:val="none" w:sz="0" w:space="0" w:color="auto"/>
        <w:right w:val="none" w:sz="0" w:space="0" w:color="auto"/>
      </w:divBdr>
      <w:divsChild>
        <w:div w:id="1491018286">
          <w:marLeft w:val="0"/>
          <w:marRight w:val="0"/>
          <w:marTop w:val="0"/>
          <w:marBottom w:val="0"/>
          <w:divBdr>
            <w:top w:val="none" w:sz="0" w:space="0" w:color="auto"/>
            <w:left w:val="none" w:sz="0" w:space="0" w:color="auto"/>
            <w:bottom w:val="none" w:sz="0" w:space="0" w:color="auto"/>
            <w:right w:val="none" w:sz="0" w:space="0" w:color="auto"/>
          </w:divBdr>
          <w:divsChild>
            <w:div w:id="1217935169">
              <w:marLeft w:val="0"/>
              <w:marRight w:val="0"/>
              <w:marTop w:val="0"/>
              <w:marBottom w:val="0"/>
              <w:divBdr>
                <w:top w:val="none" w:sz="0" w:space="0" w:color="auto"/>
                <w:left w:val="none" w:sz="0" w:space="0" w:color="auto"/>
                <w:bottom w:val="none" w:sz="0" w:space="0" w:color="auto"/>
                <w:right w:val="none" w:sz="0" w:space="0" w:color="auto"/>
              </w:divBdr>
              <w:divsChild>
                <w:div w:id="2009094038">
                  <w:marLeft w:val="0"/>
                  <w:marRight w:val="0"/>
                  <w:marTop w:val="120"/>
                  <w:marBottom w:val="0"/>
                  <w:divBdr>
                    <w:top w:val="none" w:sz="0" w:space="0" w:color="auto"/>
                    <w:left w:val="none" w:sz="0" w:space="0" w:color="auto"/>
                    <w:bottom w:val="none" w:sz="0" w:space="0" w:color="auto"/>
                    <w:right w:val="none" w:sz="0" w:space="0" w:color="auto"/>
                  </w:divBdr>
                  <w:divsChild>
                    <w:div w:id="199437718">
                      <w:marLeft w:val="0"/>
                      <w:marRight w:val="0"/>
                      <w:marTop w:val="0"/>
                      <w:marBottom w:val="0"/>
                      <w:divBdr>
                        <w:top w:val="none" w:sz="0" w:space="0" w:color="auto"/>
                        <w:left w:val="none" w:sz="0" w:space="0" w:color="auto"/>
                        <w:bottom w:val="none" w:sz="0" w:space="0" w:color="auto"/>
                        <w:right w:val="none" w:sz="0" w:space="0" w:color="auto"/>
                      </w:divBdr>
                      <w:divsChild>
                        <w:div w:id="135801652">
                          <w:marLeft w:val="0"/>
                          <w:marRight w:val="0"/>
                          <w:marTop w:val="0"/>
                          <w:marBottom w:val="0"/>
                          <w:divBdr>
                            <w:top w:val="none" w:sz="0" w:space="0" w:color="auto"/>
                            <w:left w:val="none" w:sz="0" w:space="0" w:color="auto"/>
                            <w:bottom w:val="none" w:sz="0" w:space="0" w:color="auto"/>
                            <w:right w:val="none" w:sz="0" w:space="0" w:color="auto"/>
                          </w:divBdr>
                          <w:divsChild>
                            <w:div w:id="1009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496249">
      <w:bodyDiv w:val="1"/>
      <w:marLeft w:val="0"/>
      <w:marRight w:val="0"/>
      <w:marTop w:val="0"/>
      <w:marBottom w:val="0"/>
      <w:divBdr>
        <w:top w:val="none" w:sz="0" w:space="0" w:color="auto"/>
        <w:left w:val="none" w:sz="0" w:space="0" w:color="auto"/>
        <w:bottom w:val="none" w:sz="0" w:space="0" w:color="auto"/>
        <w:right w:val="none" w:sz="0" w:space="0" w:color="auto"/>
      </w:divBdr>
      <w:divsChild>
        <w:div w:id="541089587">
          <w:marLeft w:val="0"/>
          <w:marRight w:val="0"/>
          <w:marTop w:val="0"/>
          <w:marBottom w:val="0"/>
          <w:divBdr>
            <w:top w:val="none" w:sz="0" w:space="0" w:color="auto"/>
            <w:left w:val="none" w:sz="0" w:space="0" w:color="auto"/>
            <w:bottom w:val="none" w:sz="0" w:space="0" w:color="auto"/>
            <w:right w:val="none" w:sz="0" w:space="0" w:color="auto"/>
          </w:divBdr>
          <w:divsChild>
            <w:div w:id="1728718625">
              <w:marLeft w:val="0"/>
              <w:marRight w:val="0"/>
              <w:marTop w:val="0"/>
              <w:marBottom w:val="0"/>
              <w:divBdr>
                <w:top w:val="none" w:sz="0" w:space="0" w:color="auto"/>
                <w:left w:val="none" w:sz="0" w:space="0" w:color="auto"/>
                <w:bottom w:val="none" w:sz="0" w:space="0" w:color="auto"/>
                <w:right w:val="none" w:sz="0" w:space="0" w:color="auto"/>
              </w:divBdr>
              <w:divsChild>
                <w:div w:id="218784387">
                  <w:marLeft w:val="0"/>
                  <w:marRight w:val="0"/>
                  <w:marTop w:val="120"/>
                  <w:marBottom w:val="0"/>
                  <w:divBdr>
                    <w:top w:val="none" w:sz="0" w:space="0" w:color="auto"/>
                    <w:left w:val="none" w:sz="0" w:space="0" w:color="auto"/>
                    <w:bottom w:val="none" w:sz="0" w:space="0" w:color="auto"/>
                    <w:right w:val="none" w:sz="0" w:space="0" w:color="auto"/>
                  </w:divBdr>
                  <w:divsChild>
                    <w:div w:id="1089161698">
                      <w:marLeft w:val="0"/>
                      <w:marRight w:val="0"/>
                      <w:marTop w:val="0"/>
                      <w:marBottom w:val="0"/>
                      <w:divBdr>
                        <w:top w:val="none" w:sz="0" w:space="0" w:color="auto"/>
                        <w:left w:val="none" w:sz="0" w:space="0" w:color="auto"/>
                        <w:bottom w:val="none" w:sz="0" w:space="0" w:color="auto"/>
                        <w:right w:val="none" w:sz="0" w:space="0" w:color="auto"/>
                      </w:divBdr>
                      <w:divsChild>
                        <w:div w:id="2046639654">
                          <w:marLeft w:val="0"/>
                          <w:marRight w:val="0"/>
                          <w:marTop w:val="0"/>
                          <w:marBottom w:val="0"/>
                          <w:divBdr>
                            <w:top w:val="none" w:sz="0" w:space="0" w:color="auto"/>
                            <w:left w:val="none" w:sz="0" w:space="0" w:color="auto"/>
                            <w:bottom w:val="none" w:sz="0" w:space="0" w:color="auto"/>
                            <w:right w:val="none" w:sz="0" w:space="0" w:color="auto"/>
                          </w:divBdr>
                          <w:divsChild>
                            <w:div w:id="3606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000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undogremial.com/confirman-nuevos-despidos-en-ternium-se-agudiza-el-conflicto-entre-la-uom-y-paolo-rocca/" TargetMode="External"/><Relationship Id="rId18" Type="http://schemas.openxmlformats.org/officeDocument/2006/relationships/hyperlink" Target="https://es.wikipedia.org/wiki/Barrio_Alto_Alberdi_(C%C3%B3rdoba)" TargetMode="External"/><Relationship Id="rId26" Type="http://schemas.openxmlformats.org/officeDocument/2006/relationships/hyperlink" Target="https://www.argentina.gob.ar/normativa/provincial/ley-10208-123456789-0abc-defg-802-0100ovorpyel/actualizacion" TargetMode="External"/><Relationship Id="rId21" Type="http://schemas.openxmlformats.org/officeDocument/2006/relationships/hyperlink" Target="https://www.infobae.com/economia/2026/03/18/el-mapa-de-la-desocupacion-cuales-son-las-ciudades-con-menor-nivel-de-empleo-en-todo-el-pais/"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infobae.com/economia/2025/09/02/por-un-conflicto-gremial-se-paralizo-el-alto-horno-de-la-planta-de-ternium-en-san-nicolas/" TargetMode="External"/><Relationship Id="rId17" Type="http://schemas.openxmlformats.org/officeDocument/2006/relationships/hyperlink" Target="https://metalurgicoscba.com.ar/empresas/socio-detalle.php?socio=51" TargetMode="External"/><Relationship Id="rId25" Type="http://schemas.openxmlformats.org/officeDocument/2006/relationships/hyperlink" Target="https://www.argentina.gob.ar/ambiente/control/seguro-ambiental" TargetMode="External"/><Relationship Id="rId33" Type="http://schemas.openxmlformats.org/officeDocument/2006/relationships/hyperlink" Target="https://agenciatierraviva.com.ar/investigan-a-una-empresa-del-grupo-techint-por-contaminar-el-rio-parana/" TargetMode="External"/><Relationship Id="rId2" Type="http://schemas.openxmlformats.org/officeDocument/2006/relationships/styles" Target="styles.xml"/><Relationship Id="rId16" Type="http://schemas.openxmlformats.org/officeDocument/2006/relationships/hyperlink" Target="https://cimcc.org.ar/quienes-somos/" TargetMode="External"/><Relationship Id="rId20" Type="http://schemas.openxmlformats.org/officeDocument/2006/relationships/hyperlink" Target="https://diariodecuyo.com.ar/argentina/La-tasa-de-desocupacion-llego-al-57-en-el-cuarto-trimestre-de-2023-20240320-0041.html" TargetMode="External"/><Relationship Id="rId29" Type="http://schemas.openxmlformats.org/officeDocument/2006/relationships/hyperlink" Target="https://mercojuris.com/san-luis-informan-la-disponibilidad-de-parques-industriales-para-empresa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obae.com/economia/2025/08/21/un-paro-complica-la-produccion-de-una-empresa-metalurgica-de-techint/" TargetMode="External"/><Relationship Id="rId24" Type="http://schemas.openxmlformats.org/officeDocument/2006/relationships/hyperlink" Target="https://www.argentina.gob.ar/normativa/nacional/resoluci%C3%B3n-1639-2007-134704/texto" TargetMode="External"/><Relationship Id="rId32" Type="http://schemas.openxmlformats.org/officeDocument/2006/relationships/hyperlink" Target="https://www.marval.com/publicacion/nueva-reglamentacion-para-obtener-el-certificado-de-aptitud-ambiental-en-la-provincia-de-buenos-aires-1338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nfobae.com/economia/2026/03/18/el-mapa-de-la-desocupacion-cuales-son-las-ciudades-con-menor-nivel-de-empleo-en-todo-el-pais/" TargetMode="External"/><Relationship Id="rId23" Type="http://schemas.openxmlformats.org/officeDocument/2006/relationships/hyperlink" Target="https://www.argentino.com.ar/san-luis-capital/empresas+metalurgicas" TargetMode="External"/><Relationship Id="rId28" Type="http://schemas.openxmlformats.org/officeDocument/2006/relationships/hyperlink" Target="https://ambiente.sanluis.gov.ar/procedimiento-de-evaluacion-de-impacto-ambiental/" TargetMode="External"/><Relationship Id="rId36" Type="http://schemas.openxmlformats.org/officeDocument/2006/relationships/fontTable" Target="fontTable.xml"/><Relationship Id="rId10" Type="http://schemas.openxmlformats.org/officeDocument/2006/relationships/hyperlink" Target="https://misa.com.ar/" TargetMode="External"/><Relationship Id="rId19" Type="http://schemas.openxmlformats.org/officeDocument/2006/relationships/hyperlink" Target="https://prodismo.com/" TargetMode="External"/><Relationship Id="rId31" Type="http://schemas.openxmlformats.org/officeDocument/2006/relationships/hyperlink" Target="https://argentinambiental.com/legislacion/buenos-aires/resolucion-49419-clasificacion-segun-nivel-complejidad-ambiental-cnca-los-establecimientos-industriales/" TargetMode="External"/><Relationship Id="rId4" Type="http://schemas.openxmlformats.org/officeDocument/2006/relationships/webSettings" Target="webSettings.xml"/><Relationship Id="rId9" Type="http://schemas.openxmlformats.org/officeDocument/2006/relationships/hyperlink" Target="https://www.opinandosannicolas.ar/2025/08/conflicto-uom-ternium-el-futuro-de-7-000-familias-en-juego-frente-a-intereses-empresariales-y-gremiales/" TargetMode="External"/><Relationship Id="rId14" Type="http://schemas.openxmlformats.org/officeDocument/2006/relationships/hyperlink" Target="https://www.cadena3.com/amp/noticia/politica-y-economia/censo-2022-cordoba-es-la-segunda-jurisdiccion-mas-poblada-del-pais_349278" TargetMode="External"/><Relationship Id="rId22" Type="http://schemas.openxmlformats.org/officeDocument/2006/relationships/hyperlink" Target="https://www.argentina.gob.ar/normativa/nacional/ley-22702-28197/texto" TargetMode="External"/><Relationship Id="rId27" Type="http://schemas.openxmlformats.org/officeDocument/2006/relationships/hyperlink" Target="http://cdcoloniacaroya.gob.ar/Ordenanza/Detalles/756" TargetMode="External"/><Relationship Id="rId30" Type="http://schemas.openxmlformats.org/officeDocument/2006/relationships/hyperlink" Target="https://www.argentina.gob.ar/ciencia/agencia/normativa-ambiental-bsas" TargetMode="External"/><Relationship Id="rId35" Type="http://schemas.openxmlformats.org/officeDocument/2006/relationships/footer" Target="footer1.xml"/><Relationship Id="rId8" Type="http://schemas.openxmlformats.org/officeDocument/2006/relationships/hyperlink" Target="https://www.infobae.com/economia/2026/03/18/el-mapa-de-la-desocupacion-cuales-son-las-ciudades-con-menor-nivel-de-empleo-en-todo-el-pais/"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4668</Words>
  <Characters>25678</Characters>
  <Application>Microsoft Office Word</Application>
  <DocSecurity>0</DocSecurity>
  <Lines>213</Lines>
  <Paragraphs>60</Paragraphs>
  <ScaleCrop>false</ScaleCrop>
  <Company/>
  <LinksUpToDate>false</LinksUpToDate>
  <CharactersWithSpaces>30286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Albarracin, Mateo</cp:lastModifiedBy>
  <cp:revision>19</cp:revision>
  <dcterms:created xsi:type="dcterms:W3CDTF">2026-05-30T01:33:00Z</dcterms:created>
  <dcterms:modified xsi:type="dcterms:W3CDTF">2026-05-31T20:27:00Z</dcterms:modified>
</cp:coreProperties>
</file>