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106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02">
      <w:pPr>
        <w:ind w:left="106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Definir la especificación técnica que debe cumplir el bicarbonato de amonio adquirido por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WELLINGTON FOOD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elaborar sus productos.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06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Alcance:</w:t>
      </w:r>
    </w:p>
    <w:p w:rsidR="00000000" w:rsidDel="00000000" w:rsidP="00000000" w:rsidRDefault="00000000" w:rsidRPr="00000000" w14:paraId="00000006">
      <w:pPr>
        <w:ind w:left="106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especificación se aplica a todo el bicarbonato de amonio ingresado y utilizado en el proceso de elaboración de los productos de WELLINGTON FOOD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 que forma pequeños cristales prismáticos de color blanco brillante, duro y con fuerte olor a amoníaco. Totalmente soluble en agua e insoluble en alcohol. Se utiliza principalmente como agente leudante en la elaboración de panificados y galletería. 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Denominación: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Bicarbonato de amonio. 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Ingredientes: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Bicarbonato de amonio y carbonato de amonio. 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nutricional: 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aporta valores nutricionales significativos según CAA. 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Condiciones de Almacenamiento y Transporte: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bicarbonato de amonio deber ser transportado en bolsas de 25kg totalmente cerradas, sobre pallets limpios, íntegros y estrechados.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medio de transporte deberá presentar condiciones higiénicas óptimas y estar libre olores, residuos u otras sustancias extrañas.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vehículo utilizado deberá contar con la habilitación sanitaria vigente para el transporte de sustancias alimenticias, emitida por la autoridad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 permitirá el transporte conjunto con otros productos que puedan alterar o contaminar la materia prima.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deberá garantizar la ausencia total de plagas, tanto vivas como muertas, así como cualquier signo que evidencie la actividad de estas.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Identificación: </w:t>
      </w:r>
    </w:p>
    <w:p w:rsidR="00000000" w:rsidDel="00000000" w:rsidP="00000000" w:rsidRDefault="00000000" w:rsidRPr="00000000" w14:paraId="00000021">
      <w:pPr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bolsas de bicarbonato de amonio deben contener las siguientes indicaciones: </w:t>
      </w:r>
    </w:p>
    <w:p w:rsidR="00000000" w:rsidDel="00000000" w:rsidP="00000000" w:rsidRDefault="00000000" w:rsidRPr="00000000" w14:paraId="00000023">
      <w:pPr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 proveedor y del producto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lote o partida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elaboración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vencimiento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Peso neto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RNPA 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 cada lote entregado, el proveedor debe enviar un protocolo de calidad que debe contener como mínimo la siguiente información: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del proveedor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del insumo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de producción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de vencimiento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Número de lote o partida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Resultados de la inspección de control de Calidad: características FQ y microbiológicas 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Especificaciones Técnicas: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</w:t>
      </w:r>
    </w:p>
    <w:p w:rsidR="00000000" w:rsidDel="00000000" w:rsidP="00000000" w:rsidRDefault="00000000" w:rsidRPr="00000000" w14:paraId="0000003A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CAPÍTULO XVIII CODIGO ALIMENTARIO ARGENTINO, ADITIVOS ALIMENTARIOS. Artículo 1398.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Características organolépticas: 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3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3260"/>
        <w:tblGridChange w:id="0">
          <w:tblGrid>
            <w:gridCol w:w="2122"/>
            <w:gridCol w:w="32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Aspecto 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Polvo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Color 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Blanco amarillento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Olor 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Fuerte olor, característico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Sabor 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Lácteo, característico</w:t>
            </w:r>
          </w:p>
        </w:tc>
      </w:tr>
    </w:tbl>
    <w:p w:rsidR="00000000" w:rsidDel="00000000" w:rsidP="00000000" w:rsidRDefault="00000000" w:rsidRPr="00000000" w14:paraId="0000004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Características fisicoquímicas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818.0" w:type="dxa"/>
        <w:jc w:val="left"/>
        <w:tblInd w:w="-4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6"/>
        <w:gridCol w:w="2552"/>
        <w:tblGridChange w:id="0">
          <w:tblGrid>
            <w:gridCol w:w="3266"/>
            <w:gridCol w:w="25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Prueba de amonio 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Pasa prueba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Prueba de cabonato 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Pasa prueba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pureza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99 % min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pH (Sn 0.1 M)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Cercano a 8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Residuo no volátil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0,055 %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Hierro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 ppm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Cloruro 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 ppm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Sulfatos 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 ppm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Arsénico 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ppm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Mercurio 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ppm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Plomo 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ppm 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Características microbiológicas 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954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2552"/>
        <w:tblGridChange w:id="0">
          <w:tblGrid>
            <w:gridCol w:w="3402"/>
            <w:gridCol w:w="25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Aerobios Totales (UFC/g)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500 max </w:t>
            </w:r>
          </w:p>
        </w:tc>
      </w:tr>
      <w:tr>
        <w:trPr>
          <w:cantSplit w:val="0"/>
          <w:trHeight w:val="5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Salmonella (en 25 g)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Ausencia 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 Alimentaria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Ausencia de cuerpos extraños, materiales ferrosos y cualquier material que comprometa la inocuidad del producto.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deberá presentar anualmente análisis de metales pesados.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Alergenos 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materias primas deberán presentar anualmente RNE, RNPA, análisis de gliadinas y declaración jurada constatando que el producto es libre de gluten. En caso de que haya posibilidad de contaminación cruzada, ya sea por presencia en la línea o en el establecimiento, los análisis se solicitarán semestralmente. Para otros alérgenos se solicita formulario anualmente. 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9.</w:t>
        <w:tab/>
        <w:t xml:space="preserve">Presentación: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Bolsas de papel Kraft multipliegos por 25 kg – SOBRE PALLET ESTRECHADA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10.</w:t>
        <w:tab/>
        <w:t xml:space="preserve"> Vida Útil: 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12 meses desde la fecha de producción.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11. Historial de Revisiones: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06.0" w:type="dxa"/>
        <w:jc w:val="left"/>
        <w:tblInd w:w="-4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1"/>
        <w:gridCol w:w="1633"/>
        <w:gridCol w:w="2268"/>
        <w:gridCol w:w="3544"/>
        <w:tblGridChange w:id="0">
          <w:tblGrid>
            <w:gridCol w:w="2161"/>
            <w:gridCol w:w="1633"/>
            <w:gridCol w:w="2268"/>
            <w:gridCol w:w="35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Revisión Nº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Acción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18/04/2024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 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18/04/2024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Reviso 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18/04/2024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Elaboro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Ayelen Di Filippo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20/04/2022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 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20/04/2022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Reviso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20/04/2022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Elaboró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Tatiana Sanchez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22/09/2020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Elaboró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Sol Iribarren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22/09/2020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Revisó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22/09/2020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25/08/2016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Elaboró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25/08/2016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Revisó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25/08/2016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Carlos Moreiras</w:t>
            </w:r>
          </w:p>
        </w:tc>
      </w:tr>
    </w:tbl>
    <w:p w:rsidR="00000000" w:rsidDel="00000000" w:rsidP="00000000" w:rsidRDefault="00000000" w:rsidRPr="00000000" w14:paraId="000000B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283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5"/>
      <w:tblW w:w="10149.0" w:type="dxa"/>
      <w:jc w:val="left"/>
      <w:tblInd w:w="-90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340"/>
      <w:gridCol w:w="2704"/>
      <w:gridCol w:w="2003"/>
      <w:gridCol w:w="724"/>
      <w:gridCol w:w="561"/>
      <w:gridCol w:w="703"/>
      <w:gridCol w:w="1275"/>
      <w:gridCol w:w="839"/>
      <w:tblGridChange w:id="0">
        <w:tblGrid>
          <w:gridCol w:w="1340"/>
          <w:gridCol w:w="2704"/>
          <w:gridCol w:w="2003"/>
          <w:gridCol w:w="724"/>
          <w:gridCol w:w="561"/>
          <w:gridCol w:w="703"/>
          <w:gridCol w:w="1275"/>
          <w:gridCol w:w="839"/>
        </w:tblGrid>
      </w:tblGridChange>
    </w:tblGrid>
    <w:tr>
      <w:trPr>
        <w:cantSplit w:val="0"/>
        <w:trHeight w:val="254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3">
          <w:pPr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676275" cy="676275"/>
                <wp:effectExtent b="0" l="0" r="0" t="0"/>
                <wp:docPr descr="Imagen que contiene dibujo, alimentos&#10;&#10;Descripción generada automáticamente" id="1" name="image1.jpg"/>
                <a:graphic>
                  <a:graphicData uri="http://schemas.openxmlformats.org/drawingml/2006/picture">
                    <pic:pic>
                      <pic:nvPicPr>
                        <pic:cNvPr descr="Imagen que contiene dibujo, alimentos&#10;&#10;Descripción generada automáticamente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7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5">
          <w:pPr>
            <w:jc w:val="center"/>
            <w:rPr>
              <w:rFonts w:ascii="Tahoma" w:cs="Tahoma" w:eastAsia="Tahoma" w:hAnsi="Tahom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24"/>
              <w:szCs w:val="24"/>
              <w:rtl w:val="0"/>
            </w:rPr>
            <w:t xml:space="preserve">ESPECIFICACIÓN TÉCNICA: BICARBONATO DE AMONIO</w:t>
          </w:r>
        </w:p>
      </w:tc>
    </w:tr>
    <w:tr>
      <w:trPr>
        <w:cantSplit w:val="0"/>
        <w:trHeight w:val="426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D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Código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E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Revisión</w:t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F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Vigencia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2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Cancela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3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</w:t>
          </w:r>
        </w:p>
      </w:tc>
    </w:tr>
    <w:tr>
      <w:trPr>
        <w:cantSplit w:val="0"/>
        <w:trHeight w:val="616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5">
          <w:pPr>
            <w:jc w:val="center"/>
            <w:rPr>
              <w:rFonts w:ascii="Tahoma" w:cs="Tahoma" w:eastAsia="Tahoma" w:hAnsi="Tahoma"/>
              <w:color w:val="ff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ET-MP-008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7">
          <w:pPr>
            <w:jc w:val="center"/>
            <w:rPr>
              <w:rFonts w:ascii="Tahoma" w:cs="Tahoma" w:eastAsia="Tahoma" w:hAnsi="Tahoma"/>
              <w:color w:val="ff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03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9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18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B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04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D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E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2024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F">
          <w:pPr>
            <w:rPr>
              <w:rFonts w:ascii="Tahoma" w:cs="Tahoma" w:eastAsia="Tahoma" w:hAnsi="Tahoma"/>
              <w:color w:val="ff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rPr>
              <w:rFonts w:ascii="Tahoma" w:cs="Tahoma" w:eastAsia="Tahoma" w:hAnsi="Tahoma"/>
              <w:color w:val="ff0000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20/04/2022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1">
          <w:pPr>
            <w:jc w:val="center"/>
            <w:rPr>
              <w:b w:val="0"/>
              <w:bCs w:val="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2">
          <w:pPr>
            <w:jc w:val="center"/>
            <w:rPr/>
          </w:pPr>
          <w:r w:rsidDel="00000000" w:rsidR="00000000" w:rsidRPr="00000000">
            <w:rPr>
              <w:b w:val="1"/>
              <w:bCs w:val="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rtl w:val="0"/>
            </w:rPr>
            <w:t xml:space="preserve"> de 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065" w:hanging="705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1440" w:hanging="1080"/>
      </w:pPr>
      <w:rPr>
        <w:u w:val="single"/>
      </w:rPr>
    </w:lvl>
    <w:lvl w:ilvl="3">
      <w:start w:val="1"/>
      <w:numFmt w:val="decimal"/>
      <w:lvlText w:val="%1.%2.%3.%4."/>
      <w:lvlJc w:val="left"/>
      <w:pPr>
        <w:ind w:left="1800" w:hanging="1440"/>
      </w:pPr>
      <w:rPr>
        <w:u w:val="single"/>
      </w:rPr>
    </w:lvl>
    <w:lvl w:ilvl="4">
      <w:start w:val="1"/>
      <w:numFmt w:val="decimal"/>
      <w:lvlText w:val="%1.%2.%3.%4.%5."/>
      <w:lvlJc w:val="left"/>
      <w:pPr>
        <w:ind w:left="2160" w:hanging="1800"/>
      </w:pPr>
      <w:rPr>
        <w:u w:val="single"/>
      </w:rPr>
    </w:lvl>
    <w:lvl w:ilvl="5">
      <w:start w:val="1"/>
      <w:numFmt w:val="decimal"/>
      <w:lvlText w:val="%1.%2.%3.%4.%5.%6."/>
      <w:lvlJc w:val="left"/>
      <w:pPr>
        <w:ind w:left="2160" w:hanging="1800"/>
      </w:pPr>
      <w:rPr>
        <w:u w:val="single"/>
      </w:rPr>
    </w:lvl>
    <w:lvl w:ilvl="6">
      <w:start w:val="1"/>
      <w:numFmt w:val="decimal"/>
      <w:lvlText w:val="%1.%2.%3.%4.%5.%6.%7."/>
      <w:lvlJc w:val="left"/>
      <w:pPr>
        <w:ind w:left="2520" w:hanging="2160"/>
      </w:pPr>
      <w:rPr>
        <w:u w:val="single"/>
      </w:rPr>
    </w:lvl>
    <w:lvl w:ilvl="7">
      <w:start w:val="1"/>
      <w:numFmt w:val="decimal"/>
      <w:lvlText w:val="%1.%2.%3.%4.%5.%6.%7.%8."/>
      <w:lvlJc w:val="left"/>
      <w:pPr>
        <w:ind w:left="2880" w:hanging="2520"/>
      </w:pPr>
      <w:rPr>
        <w:u w:val="single"/>
      </w:rPr>
    </w:lvl>
    <w:lvl w:ilvl="8">
      <w:start w:val="1"/>
      <w:numFmt w:val="decimal"/>
      <w:lvlText w:val="%1.%2.%3.%4.%5.%6.%7.%8.%9."/>
      <w:lvlJc w:val="left"/>
      <w:pPr>
        <w:ind w:left="3240" w:hanging="2880"/>
      </w:pPr>
      <w:rPr>
        <w:u w:val="single"/>
      </w:rPr>
    </w:lvl>
  </w:abstractNum>
  <w:abstractNum w:abstractNumId="3">
    <w:lvl w:ilvl="0">
      <w:start w:val="0"/>
      <w:numFmt w:val="bullet"/>
      <w:lvlText w:val="●"/>
      <w:lvlJc w:val="left"/>
      <w:pPr>
        <w:ind w:left="142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Y26E1ZMQkZmohK/WbBXRb1PFlg==">CgMxLjA4AHIhMUxsVEpPc0N6OXFubTVsdnhUakpQZ1dfNnVwVGJZdXZy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