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ind w:left="1065" w:hanging="705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vertAlign w:val="baseline"/>
          <w:rtl w:val="0"/>
        </w:rPr>
        <w:t xml:space="preserve">Objetivo: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1065" w:firstLine="0"/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Definir la especificación técnica que debe cumplir la esencia de vainilla liquida adquirida por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WELLINGTON FOOD para elaborar sus productos.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1065" w:hanging="705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vertAlign w:val="baseline"/>
          <w:rtl w:val="0"/>
        </w:rPr>
        <w:t xml:space="preserve">Alcance: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1065" w:firstLine="0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Esta especificación se aplica a toda la esencia de vainilla líquida ingresada y utilizada en el proceso de elaboración de los productos de 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WELLINGTON FOOD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1065" w:hanging="705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vertAlign w:val="baseline"/>
          <w:rtl w:val="0"/>
        </w:rPr>
        <w:t xml:space="preserve">Descripción: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1065" w:firstLine="0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Esencia líquida color amarillento, de aroma y sabor característico a vainilla.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1065" w:hanging="705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vertAlign w:val="baseline"/>
          <w:rtl w:val="0"/>
        </w:rPr>
        <w:tab/>
        <w:t xml:space="preserve">Denominación: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Aromatizante/saborizante artificial a vainilla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líquido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1065" w:hanging="705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vertAlign w:val="baseline"/>
          <w:rtl w:val="0"/>
        </w:rPr>
        <w:tab/>
        <w:t xml:space="preserve">Condiciones de Almacenamiento y Transporte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Almacenar en envase original cerrado herméticamente, en un ambiente de 10 a 30°C, y al resguardo de la luz solar directa. 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1065" w:hanging="705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vertAlign w:val="baseline"/>
          <w:rtl w:val="0"/>
        </w:rPr>
        <w:t xml:space="preserve">Identificación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Los bidones de esencia líquida deben contener las indicaciones siguientes: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Identificación del proveedor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Identificación completa del producto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Número de lote o partida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1065" w:hanging="705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vertAlign w:val="baseline"/>
          <w:rtl w:val="0"/>
        </w:rPr>
        <w:t xml:space="preserve">Documentación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Con cada lote entregado, el proveedor debe enviar un protocolo de calidad que debe contener como mínimo la siguiente información: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Identificación del proveedor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Identificación del insumo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Fecha de producción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Número de lote o partida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Resultados de la inspección de control de Calidad: características FQ y MB</w:t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1065" w:hanging="705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vertAlign w:val="baseline"/>
          <w:rtl w:val="0"/>
        </w:rPr>
        <w:t xml:space="preserve">Especificaciones Técnicas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vertAlign w:val="baseline"/>
          <w:rtl w:val="0"/>
        </w:rPr>
        <w:t xml:space="preserve">8.1</w:t>
        <w:tab/>
        <w:t xml:space="preserve"> Características organolépticas: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3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22"/>
        <w:gridCol w:w="3260"/>
        <w:tblGridChange w:id="0">
          <w:tblGrid>
            <w:gridCol w:w="2122"/>
            <w:gridCol w:w="326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Aspecto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Líquido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Color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Amarillo pálido – Amarillo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Olor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Fuerte olor característico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Sabor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Característico</w:t>
            </w:r>
          </w:p>
        </w:tc>
      </w:tr>
    </w:tbl>
    <w:p w:rsidR="00000000" w:rsidDel="00000000" w:rsidP="00000000" w:rsidRDefault="00000000" w:rsidRPr="00000000" w14:paraId="00000032">
      <w:pPr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vertAlign w:val="baseline"/>
          <w:rtl w:val="0"/>
        </w:rPr>
        <w:t xml:space="preserve">8.2</w:t>
        <w:tab/>
        <w:t xml:space="preserve"> Características fisicoquimicas: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3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22"/>
        <w:gridCol w:w="3260"/>
        <w:tblGridChange w:id="0">
          <w:tblGrid>
            <w:gridCol w:w="2122"/>
            <w:gridCol w:w="326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Ph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Densidad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1,014 – 1,034 g/ml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Indice de refracción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1,436 – 1,444</w:t>
            </w:r>
          </w:p>
        </w:tc>
      </w:tr>
    </w:tbl>
    <w:p w:rsidR="00000000" w:rsidDel="00000000" w:rsidP="00000000" w:rsidRDefault="00000000" w:rsidRPr="00000000" w14:paraId="0000003B">
      <w:pPr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vertAlign w:val="baseline"/>
          <w:rtl w:val="0"/>
        </w:rPr>
        <w:t xml:space="preserve">8.3</w:t>
        <w:tab/>
        <w:t xml:space="preserve">Seguridad Alimentaria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Ausencia de cuerpos extraños, materiales ferrosos y cualquier material que comprometa la inocuidad del producto.</w:t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vertAlign w:val="baseline"/>
          <w:rtl w:val="0"/>
        </w:rPr>
        <w:t xml:space="preserve">8.4</w:t>
        <w:tab/>
        <w:t xml:space="preserve"> Alérgenos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Las materias primas deberán presentar certificado libre de gluten o declaración jurada donde declaren ausencia de gluten en la planta.</w:t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1065" w:hanging="705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vertAlign w:val="baseline"/>
          <w:rtl w:val="0"/>
        </w:rPr>
        <w:t xml:space="preserve">Presentación: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Bidón de polietileno de 25kg.</w:t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1065" w:hanging="705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vertAlign w:val="baseline"/>
          <w:rtl w:val="0"/>
        </w:rPr>
        <w:t xml:space="preserve"> Vida Útil: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12 meses en envase original y herméticamente cerrado, a temperatura ambiente y en condiciones de almacenamiento indicadas.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5" w:right="0" w:hanging="70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Historial de revisión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49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23"/>
        <w:gridCol w:w="1700"/>
        <w:gridCol w:w="1559"/>
        <w:gridCol w:w="3112"/>
        <w:tblGridChange w:id="0">
          <w:tblGrid>
            <w:gridCol w:w="2123"/>
            <w:gridCol w:w="1700"/>
            <w:gridCol w:w="1559"/>
            <w:gridCol w:w="311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Fecha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Revisión N°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Acción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Nombre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17/04/2024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Aprobó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Ing. María Inés Arias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17/04/2024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Revisó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Andrea Feola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17/04/2024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Elaboró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Ayelen Di Filippo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03/04/2018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Aprobó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Ing. Carlos Moreiras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03/04/2018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Reviso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Andrea Feola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03/04/2018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Elaboro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Ing. María Inés Arias</w:t>
            </w:r>
          </w:p>
        </w:tc>
      </w:tr>
    </w:tbl>
    <w:p w:rsidR="00000000" w:rsidDel="00000000" w:rsidP="00000000" w:rsidRDefault="00000000" w:rsidRPr="00000000" w14:paraId="00000069">
      <w:pPr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" w:top="1417" w:left="1701" w:right="1701" w:header="283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Verdana"/>
  <w:font w:name="Times New Roman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sz w:val="24"/>
        <w:szCs w:val="24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871.0" w:type="dxa"/>
      <w:jc w:val="left"/>
      <w:tblInd w:w="-108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686"/>
      <w:gridCol w:w="2421"/>
      <w:gridCol w:w="2145"/>
      <w:gridCol w:w="973"/>
      <w:gridCol w:w="780"/>
      <w:gridCol w:w="727"/>
      <w:gridCol w:w="1243"/>
      <w:gridCol w:w="896"/>
      <w:tblGridChange w:id="0">
        <w:tblGrid>
          <w:gridCol w:w="1686"/>
          <w:gridCol w:w="2421"/>
          <w:gridCol w:w="2145"/>
          <w:gridCol w:w="973"/>
          <w:gridCol w:w="780"/>
          <w:gridCol w:w="727"/>
          <w:gridCol w:w="1243"/>
          <w:gridCol w:w="896"/>
        </w:tblGrid>
      </w:tblGridChange>
    </w:tblGrid>
    <w:tr>
      <w:trPr>
        <w:cantSplit w:val="1"/>
        <w:trHeight w:val="161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20" w:before="20" w:line="240" w:lineRule="auto"/>
            <w:ind w:left="0" w:right="0" w:firstLine="0"/>
            <w:jc w:val="left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3366ff"/>
              <w:sz w:val="4"/>
              <w:szCs w:val="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jc w:val="center"/>
            <w:rPr>
              <w:vertAlign w:val="baseline"/>
            </w:rPr>
          </w:pPr>
          <w:r w:rsidDel="00000000" w:rsidR="00000000" w:rsidRPr="00000000">
            <w:rPr>
              <w:vertAlign w:val="baseline"/>
            </w:rPr>
            <w:drawing>
              <wp:inline distB="0" distT="0" distL="114300" distR="114300">
                <wp:extent cx="657225" cy="656590"/>
                <wp:effectExtent b="0" l="0" r="0" t="0"/>
                <wp:docPr descr="Logo Smams" id="1" name="image1.jpg"/>
                <a:graphic>
                  <a:graphicData uri="http://schemas.openxmlformats.org/drawingml/2006/picture">
                    <pic:pic>
                      <pic:nvPicPr>
                        <pic:cNvPr descr="Logo Smams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7225" cy="65659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jc w:val="center"/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7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070">
          <w:pPr>
            <w:jc w:val="center"/>
            <w:rPr>
              <w:rFonts w:ascii="Tahoma" w:cs="Tahoma" w:eastAsia="Tahoma" w:hAnsi="Tahoma"/>
              <w:b w:val="0"/>
              <w:bCs w:val="0"/>
              <w:sz w:val="24"/>
              <w:szCs w:val="24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bCs w:val="1"/>
              <w:sz w:val="24"/>
              <w:szCs w:val="24"/>
              <w:vertAlign w:val="baseline"/>
              <w:rtl w:val="0"/>
            </w:rPr>
            <w:t xml:space="preserve">Especificación Técnica: Esencia de vainilla liquida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69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b w:val="0"/>
              <w:bCs w:val="0"/>
              <w:sz w:val="24"/>
              <w:szCs w:val="24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8">
          <w:pPr>
            <w:jc w:val="center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Código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9">
          <w:pPr>
            <w:jc w:val="center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Revisión</w:t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A">
          <w:pPr>
            <w:jc w:val="center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Vigencia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D">
          <w:pPr>
            <w:jc w:val="center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Cancela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E">
          <w:pPr>
            <w:jc w:val="center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Página</w:t>
          </w:r>
        </w:p>
      </w:tc>
    </w:tr>
    <w:tr>
      <w:trPr>
        <w:cantSplit w:val="1"/>
        <w:trHeight w:val="388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07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080">
          <w:pPr>
            <w:jc w:val="center"/>
            <w:rPr>
              <w:rFonts w:ascii="Tahoma" w:cs="Tahoma" w:eastAsia="Tahoma" w:hAnsi="Tahoma"/>
              <w:color w:val="ff000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jc w:val="center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ET-MP-011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082">
          <w:pPr>
            <w:jc w:val="center"/>
            <w:rPr>
              <w:rFonts w:ascii="Tahoma" w:cs="Tahoma" w:eastAsia="Tahoma" w:hAnsi="Tahoma"/>
              <w:color w:val="ff000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jc w:val="center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01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084">
          <w:pPr>
            <w:jc w:val="center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jc w:val="center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17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086">
          <w:pPr>
            <w:jc w:val="center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jc w:val="center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04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088">
          <w:pPr>
            <w:jc w:val="center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jc w:val="center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2024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08A">
          <w:pPr>
            <w:jc w:val="center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03/04/2018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08C">
          <w:pPr>
            <w:jc w:val="center"/>
            <w:rPr>
              <w:b w:val="0"/>
              <w:bCs w:val="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jc w:val="center"/>
            <w:rPr>
              <w:vertAlign w:val="baseline"/>
            </w:rPr>
          </w:pPr>
          <w:r w:rsidDel="00000000" w:rsidR="00000000" w:rsidRPr="00000000">
            <w:rPr>
              <w:b w:val="1"/>
              <w:bCs w:val="1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b w:val="1"/>
              <w:bCs w:val="1"/>
              <w:vertAlign w:val="baseline"/>
              <w:rtl w:val="0"/>
            </w:rPr>
            <w:t xml:space="preserve"> de 3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1065" w:hanging="705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t2loeT1Jxx6cTU9HrHW0WnucBg==">CgMxLjA4AHIhMWJZS2lVNjZOSTZubEVtMC02RHQtZGNvQVp4aDdjVERU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