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Definir la especificación técnica que debe cumplir el aceite alto oleico adquirido por WELLINGTON FOOD para elaborar sus productos.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065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Esta especificación se aplica a todo el aceite alto oleico ingresado y utilizado en el proceso de elaboración de los productos de WELLINGTON FOOD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Producto que se obtiene a partir de grano de girasol alto oleico y posteriormente refinado, libre de GMO, bajo linoleico y naturalmente estable.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Denominación: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Aceite de girasol alto oleico. Libre de gluten.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Ingredientes: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Aceite refinado de girasol alto oleico, ácido cítrico (INS 330) y TBHQ (INS 319).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Tabla nutricional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87.0" w:type="dxa"/>
        <w:jc w:val="left"/>
        <w:tblInd w:w="726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1952"/>
        <w:tblGridChange w:id="0">
          <w:tblGrid>
            <w:gridCol w:w="3435"/>
            <w:gridCol w:w="19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Cantidad 100 grs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Valor energético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831 kcal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Carbohidratos de los cuales: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 g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Azucares totales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Azucares añadidos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Proteína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Grasas totales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92 g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Grasas saturadas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7 g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Grasas monoinsaturadas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77 g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Grasas poli-insaturadas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8 g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Grasas trans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Fibra alimentaria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Sodio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0 mg</w:t>
            </w:r>
          </w:p>
        </w:tc>
      </w:tr>
    </w:tbl>
    <w:p w:rsidR="00000000" w:rsidDel="00000000" w:rsidP="00000000" w:rsidRDefault="00000000" w:rsidRPr="00000000" w14:paraId="00000032">
      <w:pPr>
        <w:ind w:left="360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Condiciones de Almacenamiento y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aceite de girasol debe ser transportado en bin de cartón de 900kg, totalmente cerrados, protegido de la luz solar y de temperaturas superiores a 35°C, evitando el ingreso de aire y humedad, sobre pallets limpios e íntegros.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medio de transporte deberá presentar condiciones higiénicas óptimas y estar libre de olores, residuos u otras sustancias extrañas.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vehículo utilizado deberá contar con la habilitación sanitaria vigente para el transporte de sustancias alimenticias, emitida por la autoridad competente.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permitirá el transporte conjunto con otros productos que puedan alterar o contaminar la materia prima.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Se deberá garantizar la ausencia total de plagas, tanto vivas como muertas, así como cualquier signo que evidencie la actividad de 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Identificación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Los bin de aceite alto oleico deben contener las indicaciones siguientes: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Identificación del proveedor y del producto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Número de lote o partida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Fecha de elaboración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Fecha de vencimiento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Peso neto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RNE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RNPA </w:t>
      </w:r>
    </w:p>
    <w:p w:rsidR="00000000" w:rsidDel="00000000" w:rsidP="00000000" w:rsidRDefault="00000000" w:rsidRPr="00000000" w14:paraId="00000048">
      <w:pPr>
        <w:ind w:left="720" w:firstLine="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Identificación del proveedor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Identificación del insumo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Fecha de producción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Fecha de vencimiento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Número de lote o partida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Resultados de la inspección de control de Calidad: características FQ 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Especificaciones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10.1 Características organolépticas: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6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5641"/>
        <w:tblGridChange w:id="0">
          <w:tblGrid>
            <w:gridCol w:w="2122"/>
            <w:gridCol w:w="564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Aspecto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tabs>
                <w:tab w:val="center" w:leader="none" w:pos="1522"/>
              </w:tabs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Liquido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Color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claro y brillante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Olor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Neutro, característico, sin notas oxidadas o rancias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Sabor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 Neutro, característico, sin notas oxidadas o rancias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764" w:hanging="48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Características físico-químicas: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64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0"/>
        <w:tblW w:w="85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1"/>
        <w:gridCol w:w="3724"/>
        <w:tblGridChange w:id="0">
          <w:tblGrid>
            <w:gridCol w:w="4781"/>
            <w:gridCol w:w="37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índice de refracción </w:t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1,4683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Densidad (25 °C)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0,9105 g/ml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Índice de yodo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90 g I2/100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Perdida por calentamiento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0,05 %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Acidez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0,10 % (como ácido oleico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Índice de peróxido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1 mEq O2/kg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Color amarillo Lovibond (cubeta 133,5 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Color rojo Lovibond (cubeta 133,5 mm)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Máx. 1,0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764" w:hanging="48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Características microbiológicas: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284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No representa riesgo microbiológico debido a su baja actividad acuosa.</w:t>
      </w:r>
    </w:p>
    <w:p w:rsidR="00000000" w:rsidDel="00000000" w:rsidP="00000000" w:rsidRDefault="00000000" w:rsidRPr="00000000" w14:paraId="00000078">
      <w:pPr>
        <w:ind w:left="284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764" w:hanging="48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Seguridad Alimentaria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presentar anualmente análisis de ausencia de aflatoxinas y pesticidas.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  <w:vertAlign w:val="baseline"/>
        </w:rPr>
      </w:pPr>
      <w:bookmarkStart w:colFirst="0" w:colLast="0" w:name="_heading=h.whnkcp3rzhs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10.5 Alérgenos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Las materias primas deberán presentar anualmente RNE, RNPA, análisis de gliadinas y declaración jurada constatando que el producto es libre de gluten. En caso de que haya posibilidad de contaminación cruzada, ya sea por presencia en la línea o en el establecimiento, los análisis 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solicitarán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 semestralmente. Para otros alérgenos se solicita formulario anualmente. 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Presentación: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Bolsa de PE x 900kg, presentada en bin de cartón.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989" w:hanging="705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 Vida Útil: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2 años desde la fecha de producción. 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9" w:right="0" w:hanging="70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6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1"/>
        <w:gridCol w:w="1633"/>
        <w:gridCol w:w="2268"/>
        <w:gridCol w:w="3544"/>
        <w:tblGridChange w:id="0">
          <w:tblGrid>
            <w:gridCol w:w="2161"/>
            <w:gridCol w:w="1633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Verdana" w:cs="Verdana" w:eastAsia="Verdana" w:hAnsi="Verdan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vertAlign w:val="baseline"/>
                <w:rtl w:val="0"/>
              </w:rPr>
              <w:t xml:space="preserve">Revisión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Verdana" w:cs="Verdana" w:eastAsia="Verdana" w:hAnsi="Verdan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Verdana" w:cs="Verdana" w:eastAsia="Verdana" w:hAnsi="Verdan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17/04/2024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Aprobó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17/04/2024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Revisó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17/04/2024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Elaboró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Ayelen Di Filippo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20/04/2022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Aprobó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20/04/2022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Revisó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20/04/2022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Elaboró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Tatiana Sanchez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22/04/2020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Elaboró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Sol Iribarren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22/04/2020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Revisó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22/04/2020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Aprobó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03/03/2018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Elaboró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03/03/2018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Revisó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03/03/2018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Aprobó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Ing. Carlos Moreiras</w:t>
            </w:r>
          </w:p>
        </w:tc>
      </w:tr>
    </w:tbl>
    <w:p w:rsidR="00000000" w:rsidDel="00000000" w:rsidP="00000000" w:rsidRDefault="00000000" w:rsidRPr="00000000" w14:paraId="000000C3">
      <w:pPr>
        <w:jc w:val="both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790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Verdan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936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49"/>
      <w:gridCol w:w="2224"/>
      <w:gridCol w:w="1727"/>
      <w:gridCol w:w="786"/>
      <w:gridCol w:w="652"/>
      <w:gridCol w:w="664"/>
      <w:gridCol w:w="1415"/>
      <w:gridCol w:w="819"/>
      <w:tblGridChange w:id="0">
        <w:tblGrid>
          <w:gridCol w:w="1649"/>
          <w:gridCol w:w="2224"/>
          <w:gridCol w:w="1727"/>
          <w:gridCol w:w="786"/>
          <w:gridCol w:w="652"/>
          <w:gridCol w:w="664"/>
          <w:gridCol w:w="1415"/>
          <w:gridCol w:w="819"/>
        </w:tblGrid>
      </w:tblGridChange>
    </w:tblGrid>
    <w:tr>
      <w:trPr>
        <w:cantSplit w:val="1"/>
        <w:trHeight w:val="16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3366ff"/>
              <w:sz w:val="4"/>
              <w:szCs w:val="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607060" cy="606425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060" cy="606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CD">
          <w:pPr>
            <w:jc w:val="center"/>
            <w:rPr>
              <w:rFonts w:ascii="Tahoma" w:cs="Tahoma" w:eastAsia="Tahoma" w:hAnsi="Tahoma"/>
              <w:b w:val="0"/>
              <w:bC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vertAlign w:val="baseline"/>
              <w:rtl w:val="0"/>
            </w:rPr>
            <w:t xml:space="preserve">ESPECIFICACIÓN TÉCNICA: ACEITE DE GIRASOL ALTO OLEICO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7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5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6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7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A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B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Página</w:t>
          </w:r>
        </w:p>
      </w:tc>
    </w:tr>
    <w:tr>
      <w:trPr>
        <w:cantSplit w:val="1"/>
        <w:trHeight w:val="39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DD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ET-MP-0100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DF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01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E1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17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E3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04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E5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E7">
          <w:pPr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vertAlign w:val="baseline"/>
              <w:rtl w:val="0"/>
            </w:rPr>
            <w:t xml:space="preserve">20/04/2022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E9">
          <w:pPr>
            <w:jc w:val="center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jc w:val="center"/>
            <w:rPr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 de 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89" w:hanging="705"/>
      </w:pPr>
      <w:rPr>
        <w:b w:val="1"/>
        <w:bCs w:val="1"/>
        <w:vertAlign w:val="baseline"/>
      </w:rPr>
    </w:lvl>
    <w:lvl w:ilvl="1">
      <w:start w:val="2"/>
      <w:numFmt w:val="decimal"/>
      <w:lvlText w:val="%1.%2"/>
      <w:lvlJc w:val="left"/>
      <w:pPr>
        <w:ind w:left="764" w:hanging="479.99999999999994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04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364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724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724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084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+22xpQLOx2SUDrD6jVd505lyyA==">CgMxLjAyDmgud2hua2NwM3J6aHNpOAByITFKWVl3b3cyOUxPMTB6YkhSYnQ1bm5zaDJzQU5CNDFwXw==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