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02">
      <w:pPr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Definir la especificación técnica que debe cumplir la sal fina adquirida por WELLINGTON FOOD para elaborar sus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006">
      <w:pPr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especificación se aplica a toda la sal fina ingresada y utilizada en el proceso de elaboración de los productos de WELLINGTON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Cloruro de sodio, sometido a un proceso de lavado, centrifugado y deshidratado, con estructura cristalina, inodora, soluble en agua y de sabor salino. </w:t>
      </w:r>
    </w:p>
    <w:p w:rsidR="00000000" w:rsidDel="00000000" w:rsidP="00000000" w:rsidRDefault="00000000" w:rsidRPr="00000000" w14:paraId="0000000C">
      <w:pPr>
        <w:ind w:left="36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Denominación: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 fina lavada centrifuga y seca. 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Ingredientes: </w:t>
      </w:r>
    </w:p>
    <w:p w:rsidR="00000000" w:rsidDel="00000000" w:rsidP="00000000" w:rsidRDefault="00000000" w:rsidRPr="00000000" w14:paraId="00000012">
      <w:pPr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Cloruro de sodio (NaCl).</w:t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nutricional </w:t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405.0" w:type="dxa"/>
        <w:jc w:val="left"/>
        <w:tblInd w:w="5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5"/>
        <w:gridCol w:w="2080"/>
        <w:tblGridChange w:id="0">
          <w:tblGrid>
            <w:gridCol w:w="3325"/>
            <w:gridCol w:w="2080"/>
          </w:tblGrid>
        </w:tblGridChange>
      </w:tblGrid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 por 100 g </w:t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Valor energético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kcal</w:t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Carbohidratos de los cuales: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Azucares totales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Azucares añadidos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Proteína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totales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saturadas 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trans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Fibra alimentaria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Sodio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38600 mg</w:t>
            </w:r>
          </w:p>
        </w:tc>
      </w:tr>
    </w:tbl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Condiciones de Almacenamiento y Transporte</w:t>
      </w:r>
    </w:p>
    <w:p w:rsidR="00000000" w:rsidDel="00000000" w:rsidP="00000000" w:rsidRDefault="00000000" w:rsidRPr="00000000" w14:paraId="00000030">
      <w:pPr>
        <w:ind w:left="36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sal fina debe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 transportada en bolsas de 25kg totalmente cerradas, sobre pallets limpios, íntegros y estrechados.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medio de transporte deberá presentar condiciones higiénicas óptimas y estar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libre de olores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residuos u otras sustancias extrañas.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vehículo utilizado deberá contar con la habilitación sanitaria vigente para el transporte de sustancias alimenticias, emitida por la autoridad competente.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permitirá el transporte conjunto con otros productos que puedan alterar o contaminar la materia prima.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deberá garantizar la ausencia total de plagas, tanto vivas como muertas, así como cualquier signo que evidencie la actividad de 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Identificación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bolsas de sal deben contener las indicaciones siguientes: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proveedor y del producto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lote o partida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elaboración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vencimiento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Peso neto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RNE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RNPA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Documentación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cada lote entregado, el proveedor debe enviar un protocolo de calidad que debe contener como mínimo la siguiente información: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proveedor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insumo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producción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vencimiento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lote o partida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Resultados de la inspección de control de Calidad: características FQ y microbiológicas 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Especificaciones Técnicas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CAPÍTULO XVI CODIGO ALIMENTARIO ARGENTINO, CORRECTIVOS Y COADYUVANTES. Artículos 1265-1278 y Artículo 156 (contaminantes inorgánicos).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Características organolépticas: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65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5244"/>
        <w:tblGridChange w:id="0">
          <w:tblGrid>
            <w:gridCol w:w="2122"/>
            <w:gridCol w:w="52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Aspecto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Cristales blancos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Color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Blanco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Olor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Inodoro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Sabor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Característico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 fisicoquímicas: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237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1701"/>
        <w:tblGridChange w:id="0">
          <w:tblGrid>
            <w:gridCol w:w="4536"/>
            <w:gridCol w:w="1701"/>
          </w:tblGrid>
        </w:tblGridChange>
      </w:tblGrid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Características físico-químicas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Especificación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Residuos insolubles en agua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0,15 %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Perdida por desecación1 (100ºC – 105ºC)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0,15 %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Sulfatos (CaSO4)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0,56 %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Calcio, magnesio y potasio (Cloruros)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0,40 %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Arsénico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0,5 mg/kg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Cobre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2 mg/kg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Plomo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2 mg/kg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Cádmio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0,5 mg/kg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Mercúrio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0,1 mg/kg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Retención sobre tamiz 25 (710 </w:t>
            </w: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μ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Máx. 3 %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Pasaje sobre tamiz 100 (149 </w:t>
            </w: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μ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Máx. 20 %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 microbiológicas: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representa riesgo microbiológico debido a su baja actividad acuosa.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Seguridad Alimentaria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Ausencia de cuerpos extraños, materiales ferrosos y cualquier material que comprometa la inocuidad del producto.</w:t>
      </w:r>
    </w:p>
    <w:p w:rsidR="00000000" w:rsidDel="00000000" w:rsidP="00000000" w:rsidRDefault="00000000" w:rsidRPr="00000000" w14:paraId="0000008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Alérgenos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materias primas deberán presentar anualmente RNE, RNPA, análisis de gliadinas y declaración jurada constatando que el producto es libre de gluten. En caso de que haya posibilidad de contaminación cruzada, ya sea por presencia en la línea o en el establecimiento, los análisis se solicitarán semestralmente. Para otros alérgenos se solicita formulario anualmente. 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Presentación: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Bolsas de 25 kg de bolsas de rafia de polipropileno – SOBRE PALLET ESTRECHADA 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Vida Útil: 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 años desde la fecha de envasado. </w:t>
      </w:r>
    </w:p>
    <w:p w:rsidR="00000000" w:rsidDel="00000000" w:rsidP="00000000" w:rsidRDefault="00000000" w:rsidRPr="00000000" w14:paraId="0000008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Historial de Revisiones: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06.0" w:type="dxa"/>
        <w:jc w:val="left"/>
        <w:tblInd w:w="-4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1"/>
        <w:gridCol w:w="1633"/>
        <w:gridCol w:w="2268"/>
        <w:gridCol w:w="3544"/>
        <w:tblGridChange w:id="0">
          <w:tblGrid>
            <w:gridCol w:w="2161"/>
            <w:gridCol w:w="1633"/>
            <w:gridCol w:w="2268"/>
            <w:gridCol w:w="35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Revisión Nº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22/05/2024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22/05/2024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Reviso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22/05/2024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Elaboro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Ayelen Di Filippo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Reviso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Tatiana Sanchez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30/09/2020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Sol Iribarren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30/09/2020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Revisó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30/09/2020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16/04/2018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16/04/2018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Revisó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16/04/2018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Carlos Moreiras</w:t>
            </w:r>
          </w:p>
        </w:tc>
      </w:tr>
    </w:tbl>
    <w:p w:rsidR="00000000" w:rsidDel="00000000" w:rsidP="00000000" w:rsidRDefault="00000000" w:rsidRPr="00000000" w14:paraId="000000C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Verdana"/>
  <w:font w:name="Courier New"/>
  <w:font w:name="Symbol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5"/>
      <w:tblW w:w="11061.999999999998" w:type="dxa"/>
      <w:jc w:val="left"/>
      <w:tblInd w:w="-130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42"/>
      <w:gridCol w:w="2553"/>
      <w:gridCol w:w="2250"/>
      <w:gridCol w:w="658"/>
      <w:gridCol w:w="851"/>
      <w:gridCol w:w="709"/>
      <w:gridCol w:w="1384"/>
      <w:gridCol w:w="915"/>
      <w:tblGridChange w:id="0">
        <w:tblGrid>
          <w:gridCol w:w="1742"/>
          <w:gridCol w:w="2553"/>
          <w:gridCol w:w="2250"/>
          <w:gridCol w:w="658"/>
          <w:gridCol w:w="851"/>
          <w:gridCol w:w="709"/>
          <w:gridCol w:w="1384"/>
          <w:gridCol w:w="915"/>
        </w:tblGrid>
      </w:tblGridChange>
    </w:tblGrid>
    <w:tr>
      <w:trPr>
        <w:cantSplit w:val="0"/>
        <w:trHeight w:val="181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0" w:before="20" w:line="240" w:lineRule="auto"/>
            <w:ind w:left="0" w:right="0" w:firstLine="0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3366ff"/>
              <w:sz w:val="4"/>
              <w:szCs w:val="4"/>
              <w:u w:val="none"/>
              <w:shd w:fill="auto" w:val="clear"/>
              <w:vertAlign w:val="baseline"/>
            </w:rPr>
          </w:pPr>
          <w:bookmarkStart w:colFirst="0" w:colLast="0" w:name="_heading=h.5q0m8uxi25pk" w:id="0"/>
          <w:bookmarkEnd w:id="0"/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657225" cy="657225"/>
                <wp:effectExtent b="0" l="0" r="0" t="0"/>
                <wp:docPr descr="Logo Smams" id="1" name="image1.jpg"/>
                <a:graphic>
                  <a:graphicData uri="http://schemas.openxmlformats.org/drawingml/2006/picture">
                    <pic:pic>
                      <pic:nvPicPr>
                        <pic:cNvPr descr="Logo Smams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7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9">
          <w:pPr>
            <w:jc w:val="center"/>
            <w:rPr>
              <w:rFonts w:ascii="Tahoma" w:cs="Tahoma" w:eastAsia="Tahoma" w:hAnsi="Tahom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4"/>
              <w:szCs w:val="24"/>
              <w:rtl w:val="0"/>
            </w:rPr>
            <w:t xml:space="preserve">ESPECIFICACIÓN TÉNICA: SAL FINA</w:t>
          </w:r>
        </w:p>
      </w:tc>
    </w:tr>
    <w:tr>
      <w:trPr>
        <w:cantSplit w:val="0"/>
        <w:trHeight w:val="30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1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Código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2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Revisión</w:t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3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Vigencia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6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Cancela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7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</w:t>
          </w:r>
        </w:p>
      </w:tc>
    </w:tr>
    <w:tr>
      <w:trPr>
        <w:cantSplit w:val="0"/>
        <w:trHeight w:val="43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9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ET-MP-006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A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03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B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22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C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05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D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2024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E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20/04/2022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F">
          <w:pPr>
            <w:jc w:val="center"/>
            <w:rPr/>
          </w:pPr>
          <w:r w:rsidDel="00000000" w:rsidR="00000000" w:rsidRPr="00000000">
            <w:rPr>
              <w:b w:val="1"/>
              <w:bCs w:val="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rtl w:val="0"/>
            </w:rPr>
            <w:t xml:space="preserve"> de 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065" w:hanging="705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440" w:hanging="108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800" w:hanging="144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160" w:hanging="180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160" w:hanging="180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2520" w:hanging="216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2880" w:hanging="252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3240" w:hanging="2880"/>
      </w:pPr>
      <w:rPr>
        <w:u w:val="none"/>
      </w:rPr>
    </w:lvl>
  </w:abstractNum>
  <w:abstractNum w:abstractNumId="3"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vAC8kj0FMV1RlSpgdovZaxXzXQ==">CgMxLjAyDmguNXEwbTh1eGkyNXBrOAByITFRcFRvaElUeXNYYjBIZVl4Y18tYWFSLXk4QUZsVHQ2Yg==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