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20" w:before="28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6"/>
          <w:szCs w:val="26"/>
          <w:rtl w:val="0"/>
        </w:rPr>
        <w:t xml:space="preserve">1. Diseño del Contrato Internacional de </w:t>
      </w:r>
      <w:r w:rsidDel="00000000" w:rsidR="00000000" w:rsidRPr="00000000">
        <w:rPr>
          <w:rFonts w:ascii="Proxima Nova" w:cs="Proxima Nova" w:eastAsia="Proxima Nova" w:hAnsi="Proxima Nova"/>
          <w:b w:val="1"/>
          <w:bCs w:val="1"/>
          <w:sz w:val="26"/>
          <w:szCs w:val="26"/>
          <w:rtl w:val="0"/>
        </w:rPr>
        <w:t xml:space="preserve">c</w:t>
      </w:r>
      <w:r w:rsidDel="00000000" w:rsidR="00000000" w:rsidRPr="00000000">
        <w:rPr>
          <w:rFonts w:ascii="Proxima Nova" w:cs="Proxima Nova" w:eastAsia="Proxima Nova" w:hAnsi="Proxima Nova"/>
          <w:b w:val="1"/>
          <w:bCs w:val="1"/>
          <w:color w:val="000000"/>
          <w:sz w:val="26"/>
          <w:szCs w:val="26"/>
          <w:rtl w:val="0"/>
        </w:rPr>
        <w:t xml:space="preserve">ompraventa</w:t>
      </w:r>
      <w:r w:rsidDel="00000000" w:rsidR="00000000" w:rsidRPr="00000000">
        <w:rPr>
          <w:rtl w:val="0"/>
        </w:rPr>
      </w:r>
    </w:p>
    <w:p w:rsidR="00000000" w:rsidDel="00000000" w:rsidP="00000000" w:rsidRDefault="00000000" w:rsidRPr="00000000" w14:paraId="00000002">
      <w:pPr>
        <w:spacing w:after="10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Para formalizar la operación entre TecnoFlow S.A. y PetroTech Ltd., </w:t>
      </w:r>
      <w:r w:rsidDel="00000000" w:rsidR="00000000" w:rsidRPr="00000000">
        <w:rPr>
          <w:rFonts w:ascii="Proxima Nova" w:cs="Proxima Nova" w:eastAsia="Proxima Nova" w:hAnsi="Proxima Nova"/>
          <w:rtl w:val="0"/>
        </w:rPr>
        <w:t xml:space="preserve">se redacta </w:t>
      </w:r>
      <w:r w:rsidDel="00000000" w:rsidR="00000000" w:rsidRPr="00000000">
        <w:rPr>
          <w:rFonts w:ascii="Proxima Nova" w:cs="Proxima Nova" w:eastAsia="Proxima Nova" w:hAnsi="Proxima Nova"/>
          <w:color w:val="000000"/>
          <w:sz w:val="22"/>
          <w:szCs w:val="22"/>
          <w:rtl w:val="0"/>
        </w:rPr>
        <w:t xml:space="preserve">un borrador de una página respetando los lineamientos de la Convención de Viena de 1980</w:t>
      </w:r>
      <w:r w:rsidDel="00000000" w:rsidR="00000000" w:rsidRPr="00000000">
        <w:rPr>
          <w:rFonts w:ascii="Proxima Nova" w:cs="Proxima Nova" w:eastAsia="Proxima Nova" w:hAnsi="Proxima Nova"/>
          <w:rtl w:val="0"/>
        </w:rPr>
        <w:t xml:space="preserve"> y </w:t>
      </w:r>
      <w:r w:rsidDel="00000000" w:rsidR="00000000" w:rsidRPr="00000000">
        <w:rPr>
          <w:rFonts w:ascii="Proxima Nova" w:cs="Proxima Nova" w:eastAsia="Proxima Nova" w:hAnsi="Proxima Nova"/>
          <w:color w:val="000000"/>
          <w:sz w:val="22"/>
          <w:szCs w:val="22"/>
          <w:rtl w:val="0"/>
        </w:rPr>
        <w:t xml:space="preserve"> los Incoterms 2020 sobre los elementos esenciales que debe contener un contrato de compraventa.</w:t>
      </w:r>
      <w:r w:rsidDel="00000000" w:rsidR="00000000" w:rsidRPr="00000000">
        <w:rPr>
          <w:rtl w:val="0"/>
        </w:rPr>
      </w:r>
    </w:p>
    <w:p w:rsidR="00000000" w:rsidDel="00000000" w:rsidP="00000000" w:rsidRDefault="00000000" w:rsidRPr="00000000" w14:paraId="00000003">
      <w:pPr>
        <w:spacing w:after="160" w:before="2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sz w:val="23"/>
          <w:szCs w:val="23"/>
          <w:rtl w:val="0"/>
        </w:rPr>
        <w:t xml:space="preserve">CONTRATO DE COMPRAVENTA INTERNACIONAL</w:t>
      </w:r>
      <w:r w:rsidDel="00000000" w:rsidR="00000000" w:rsidRPr="00000000">
        <w:rPr>
          <w:rtl w:val="0"/>
        </w:rPr>
      </w:r>
    </w:p>
    <w:p w:rsidR="00000000" w:rsidDel="00000000" w:rsidP="00000000" w:rsidRDefault="00000000" w:rsidRPr="00000000" w14:paraId="00000004">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En la Ciudad de Buenos Aires, a los 18 días del mes de septiembre de 2026, entre TecnoFlow S.A. (CUIT 30-71234567-9), con domicilio en Parque Industrial Zárate, Buenos Aires, Argentina, representada por el Ing. Martín Gómez (Vendedor); y PetroTech Ltd., con domicilio en Nariman Point, Mumbai 400021, India, representada por el Sr. Rajesh Sharma (Comprador), se acuerda lo siguiente:</w:t>
      </w:r>
      <w:r w:rsidDel="00000000" w:rsidR="00000000" w:rsidRPr="00000000">
        <w:rPr>
          <w:rtl w:val="0"/>
        </w:rPr>
      </w:r>
    </w:p>
    <w:p w:rsidR="00000000" w:rsidDel="00000000" w:rsidP="00000000" w:rsidRDefault="00000000" w:rsidRPr="00000000" w14:paraId="00000005">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1. Objeto y cantidad: </w:t>
      </w:r>
      <w:r w:rsidDel="00000000" w:rsidR="00000000" w:rsidRPr="00000000">
        <w:rPr>
          <w:rFonts w:ascii="Proxima Nova" w:cs="Proxima Nova" w:eastAsia="Proxima Nova" w:hAnsi="Proxima Nova"/>
          <w:color w:val="000000"/>
          <w:sz w:val="22"/>
          <w:szCs w:val="22"/>
          <w:rtl w:val="0"/>
        </w:rPr>
        <w:t xml:space="preserve">TecnoFlow S.A. venderá a PetroTech Ltd. cincuenta (50) válvulas industriales modelo TF-2000 para uso petroquímico (Posición Arancelaria NCM 8481.80.95), fabricadas bajo norma técnica API 6D / ASME B16.34, clase ANSI 600, en acero forjado ASTM A105. El embalaje se realizará en cajas de madera tratadas bajo norma NIMF 15 aptas para transporte marítimo.</w:t>
      </w:r>
      <w:r w:rsidDel="00000000" w:rsidR="00000000" w:rsidRPr="00000000">
        <w:rPr>
          <w:rtl w:val="0"/>
        </w:rPr>
      </w:r>
    </w:p>
    <w:p w:rsidR="00000000" w:rsidDel="00000000" w:rsidP="00000000" w:rsidRDefault="00000000" w:rsidRPr="00000000" w14:paraId="00000006">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2. Precio y entrega: </w:t>
      </w:r>
      <w:r w:rsidDel="00000000" w:rsidR="00000000" w:rsidRPr="00000000">
        <w:rPr>
          <w:rFonts w:ascii="Proxima Nova" w:cs="Proxima Nova" w:eastAsia="Proxima Nova" w:hAnsi="Proxima Nova"/>
          <w:color w:val="000000"/>
          <w:sz w:val="22"/>
          <w:szCs w:val="22"/>
          <w:rtl w:val="0"/>
        </w:rPr>
        <w:t xml:space="preserve">El precio unitario acordado es de USD 2.000, sumando un total de USD 100.000. La condición de entrega es FOB Puerto de Buenos Aires (Incoterms 2020). El plazo de embarque será de 45 días corridos a partir de la confirmación bancaria de la Carta de Crédito. No se admiten embarques parciales; se permite transbordo.</w:t>
      </w:r>
      <w:r w:rsidDel="00000000" w:rsidR="00000000" w:rsidRPr="00000000">
        <w:rPr>
          <w:rtl w:val="0"/>
        </w:rPr>
      </w:r>
    </w:p>
    <w:p w:rsidR="00000000" w:rsidDel="00000000" w:rsidP="00000000" w:rsidRDefault="00000000" w:rsidRPr="00000000" w14:paraId="00000007">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3. Transporte y seguro: </w:t>
      </w:r>
      <w:r w:rsidDel="00000000" w:rsidR="00000000" w:rsidRPr="00000000">
        <w:rPr>
          <w:rFonts w:ascii="Proxima Nova" w:cs="Proxima Nova" w:eastAsia="Proxima Nova" w:hAnsi="Proxima Nova"/>
          <w:color w:val="000000"/>
          <w:sz w:val="22"/>
          <w:szCs w:val="22"/>
          <w:rtl w:val="0"/>
        </w:rPr>
        <w:t xml:space="preserve">Al ser una venta en condición FOB: TecnoFlow S.A. se encarga del flete interno hasta el puerto de Buenos Aires, embalaje de exportación, despacho aduanero de salida y gastos de puesta a bordo. PetroTech Ltd. es responsable de contratar y pagar el flete marítimo internacional (Buenos Aires - India), designar el buque/agente con anticipación y contratar el seguro de transporte internacional para la travesía.</w:t>
      </w:r>
      <w:r w:rsidDel="00000000" w:rsidR="00000000" w:rsidRPr="00000000">
        <w:rPr>
          <w:rtl w:val="0"/>
        </w:rPr>
      </w:r>
    </w:p>
    <w:p w:rsidR="00000000" w:rsidDel="00000000" w:rsidP="00000000" w:rsidRDefault="00000000" w:rsidRPr="00000000" w14:paraId="00000008">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4. Condiciones de pago: </w:t>
      </w:r>
      <w:r w:rsidDel="00000000" w:rsidR="00000000" w:rsidRPr="00000000">
        <w:rPr>
          <w:rFonts w:ascii="Proxima Nova" w:cs="Proxima Nova" w:eastAsia="Proxima Nova" w:hAnsi="Proxima Nova"/>
          <w:color w:val="000000"/>
          <w:sz w:val="22"/>
          <w:szCs w:val="22"/>
          <w:rtl w:val="0"/>
        </w:rPr>
        <w:t xml:space="preserve">El pago se realizará mediante Carta de Crédito irrevocable, confirmada y pagadera a la vista, regida por las normas UCP 600 de la CCI. PetroTech Ltd. abrirá el crédito a través del State Bank of India dentro de los 10 días de firmado el contrato, con confirmación en Buenos Aires por parte del Banco Santander Argentina. El banco liberará el pago una vez que TecnoFlow S.A. presente en ventanilla todos los documentos de embarque en regla.</w:t>
      </w:r>
      <w:r w:rsidDel="00000000" w:rsidR="00000000" w:rsidRPr="00000000">
        <w:rPr>
          <w:rtl w:val="0"/>
        </w:rPr>
      </w:r>
    </w:p>
    <w:p w:rsidR="00000000" w:rsidDel="00000000" w:rsidP="00000000" w:rsidRDefault="00000000" w:rsidRPr="00000000" w14:paraId="00000009">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5. Documentación requerida: </w:t>
      </w:r>
      <w:r w:rsidDel="00000000" w:rsidR="00000000" w:rsidRPr="00000000">
        <w:rPr>
          <w:rFonts w:ascii="Proxima Nova" w:cs="Proxima Nova" w:eastAsia="Proxima Nova" w:hAnsi="Proxima Nova"/>
          <w:color w:val="000000"/>
          <w:sz w:val="22"/>
          <w:szCs w:val="22"/>
          <w:rtl w:val="0"/>
        </w:rPr>
        <w:t xml:space="preserve">Para efectivizar el cobro, el vendedor debe presentar: Factura comercial electrónica clase 'E' de </w:t>
      </w:r>
      <w:r w:rsidDel="00000000" w:rsidR="00000000" w:rsidRPr="00000000">
        <w:rPr>
          <w:rFonts w:ascii="Proxima Nova" w:cs="Proxima Nova" w:eastAsia="Proxima Nova" w:hAnsi="Proxima Nova"/>
          <w:rtl w:val="0"/>
        </w:rPr>
        <w:t xml:space="preserve">ARCA </w:t>
      </w:r>
      <w:r w:rsidDel="00000000" w:rsidR="00000000" w:rsidRPr="00000000">
        <w:rPr>
          <w:rFonts w:ascii="Proxima Nova" w:cs="Proxima Nova" w:eastAsia="Proxima Nova" w:hAnsi="Proxima Nova"/>
          <w:color w:val="000000"/>
          <w:sz w:val="22"/>
          <w:szCs w:val="22"/>
          <w:rtl w:val="0"/>
        </w:rPr>
        <w:t xml:space="preserve">(original y 3 copias), juego completo 3/3 de Conocimientos de Embarque (B/L) limpios a bordo con flete pagadero en destino (Freight Collect), Lista de empaque (Packing List), Certificado de origen emitido por Cámara de Comercio argentina y Certificado de calidad y pruebas de fábrica según norma API 6D.</w:t>
      </w:r>
      <w:r w:rsidDel="00000000" w:rsidR="00000000" w:rsidRPr="00000000">
        <w:rPr>
          <w:rtl w:val="0"/>
        </w:rPr>
      </w:r>
    </w:p>
    <w:p w:rsidR="00000000" w:rsidDel="00000000" w:rsidP="00000000" w:rsidRDefault="00000000" w:rsidRPr="00000000" w14:paraId="0000000A">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6. Ley aplicable y jurisdicción: </w:t>
      </w:r>
      <w:r w:rsidDel="00000000" w:rsidR="00000000" w:rsidRPr="00000000">
        <w:rPr>
          <w:rFonts w:ascii="Proxima Nova" w:cs="Proxima Nova" w:eastAsia="Proxima Nova" w:hAnsi="Proxima Nova"/>
          <w:color w:val="000000"/>
          <w:sz w:val="22"/>
          <w:szCs w:val="22"/>
          <w:rtl w:val="0"/>
        </w:rPr>
        <w:t xml:space="preserve">El contrato se rige por la Convención de las Naciones Unidas sobre los Contratos de Compraventa Internacional de Mercaderías (Viena 1980). Ante cualquier controversia que las partes no puedan resolver en 30 días, se recurrirá al Arbitraje de la Cámara de Comercio Internacional (CCI), con tribunal en idioma inglés.</w:t>
      </w:r>
      <w:r w:rsidDel="00000000" w:rsidR="00000000" w:rsidRPr="00000000">
        <w:rPr>
          <w:rtl w:val="0"/>
        </w:rPr>
      </w:r>
    </w:p>
    <w:p w:rsidR="00000000" w:rsidDel="00000000" w:rsidP="00000000" w:rsidRDefault="00000000" w:rsidRPr="00000000" w14:paraId="0000000B">
      <w:pPr>
        <w:spacing w:after="280" w:before="360" w:lineRule="auto"/>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sz w:val="20"/>
          <w:szCs w:val="20"/>
          <w:rtl w:val="0"/>
        </w:rPr>
        <w:t xml:space="preserve">_____________________________                    _____________________________</w:t>
        <w:br w:type="textWrapping"/>
        <w:t xml:space="preserve">    Por TecnoFlow S.A.                               Por PetroTech Ltd.      </w:t>
        <w:br w:type="textWrapping"/>
        <w:t xml:space="preserve">  Ing. Martín Gómez (Director)                     Sr. Rajesh Sharma (Compras) </w:t>
      </w:r>
      <w:r w:rsidDel="00000000" w:rsidR="00000000" w:rsidRPr="00000000">
        <w:rPr>
          <w:rtl w:val="0"/>
        </w:rPr>
      </w:r>
    </w:p>
    <w:p w:rsidR="00000000" w:rsidDel="00000000" w:rsidP="00000000" w:rsidRDefault="00000000" w:rsidRPr="00000000" w14:paraId="0000000C">
      <w:pPr>
        <w:keepNext w:val="1"/>
        <w:spacing w:after="120" w:before="280" w:lineRule="auto"/>
        <w:rPr>
          <w:rFonts w:ascii="Proxima Nova" w:cs="Proxima Nova" w:eastAsia="Proxima Nova" w:hAnsi="Proxima Nova"/>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spacing w:after="120" w:before="28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6"/>
          <w:szCs w:val="26"/>
          <w:rtl w:val="0"/>
        </w:rPr>
        <w:t xml:space="preserve">2. Cuadro </w:t>
      </w:r>
      <w:r w:rsidDel="00000000" w:rsidR="00000000" w:rsidRPr="00000000">
        <w:rPr>
          <w:rFonts w:ascii="Proxima Nova" w:cs="Proxima Nova" w:eastAsia="Proxima Nova" w:hAnsi="Proxima Nova"/>
          <w:b w:val="1"/>
          <w:bCs w:val="1"/>
          <w:sz w:val="26"/>
          <w:szCs w:val="26"/>
          <w:rtl w:val="0"/>
        </w:rPr>
        <w:t xml:space="preserve">r</w:t>
      </w:r>
      <w:r w:rsidDel="00000000" w:rsidR="00000000" w:rsidRPr="00000000">
        <w:rPr>
          <w:rFonts w:ascii="Proxima Nova" w:cs="Proxima Nova" w:eastAsia="Proxima Nova" w:hAnsi="Proxima Nova"/>
          <w:b w:val="1"/>
          <w:bCs w:val="1"/>
          <w:color w:val="000000"/>
          <w:sz w:val="26"/>
          <w:szCs w:val="26"/>
          <w:rtl w:val="0"/>
        </w:rPr>
        <w:t xml:space="preserve">esumen de </w:t>
      </w:r>
      <w:r w:rsidDel="00000000" w:rsidR="00000000" w:rsidRPr="00000000">
        <w:rPr>
          <w:rFonts w:ascii="Proxima Nova" w:cs="Proxima Nova" w:eastAsia="Proxima Nova" w:hAnsi="Proxima Nova"/>
          <w:b w:val="1"/>
          <w:bCs w:val="1"/>
          <w:sz w:val="26"/>
          <w:szCs w:val="26"/>
          <w:rtl w:val="0"/>
        </w:rPr>
        <w:t xml:space="preserve">d</w:t>
      </w:r>
      <w:r w:rsidDel="00000000" w:rsidR="00000000" w:rsidRPr="00000000">
        <w:rPr>
          <w:rFonts w:ascii="Proxima Nova" w:cs="Proxima Nova" w:eastAsia="Proxima Nova" w:hAnsi="Proxima Nova"/>
          <w:b w:val="1"/>
          <w:bCs w:val="1"/>
          <w:color w:val="000000"/>
          <w:sz w:val="26"/>
          <w:szCs w:val="26"/>
          <w:rtl w:val="0"/>
        </w:rPr>
        <w:t xml:space="preserve">ocumentación</w:t>
      </w:r>
      <w:r w:rsidDel="00000000" w:rsidR="00000000" w:rsidRPr="00000000">
        <w:rPr>
          <w:rtl w:val="0"/>
        </w:rPr>
      </w:r>
    </w:p>
    <w:p w:rsidR="00000000" w:rsidDel="00000000" w:rsidP="00000000" w:rsidRDefault="00000000" w:rsidRPr="00000000" w14:paraId="0000000E">
      <w:pPr>
        <w:spacing w:after="10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Para llevar adelante la exportación y poder cobrar la Carta de Crédito, se deben emitir y presentar distintos documentos</w:t>
      </w:r>
      <w:r w:rsidDel="00000000" w:rsidR="00000000" w:rsidRPr="00000000">
        <w:rPr>
          <w:rFonts w:ascii="Proxima Nova" w:cs="Proxima Nova" w:eastAsia="Proxima Nova" w:hAnsi="Proxima Nova"/>
          <w:rtl w:val="0"/>
        </w:rPr>
        <w:t xml:space="preserve">: </w:t>
      </w:r>
    </w:p>
    <w:tbl>
      <w:tblPr>
        <w:tblStyle w:val="Table1"/>
        <w:tblW w:w="10515.0" w:type="dxa"/>
        <w:jc w:val="center"/>
        <w:tblBorders>
          <w:top w:color="999999" w:space="0" w:sz="6" w:val="single"/>
          <w:left w:color="999999" w:space="0" w:sz="6" w:val="single"/>
          <w:bottom w:color="999999" w:space="0" w:sz="6" w:val="single"/>
          <w:right w:color="999999" w:space="0" w:sz="6" w:val="single"/>
          <w:insideH w:color="cccccc" w:space="0" w:sz="4" w:val="single"/>
          <w:insideV w:color="cccccc" w:space="0" w:sz="4" w:val="single"/>
        </w:tblBorders>
        <w:tblLayout w:type="fixed"/>
        <w:tblLook w:val="0400"/>
      </w:tblPr>
      <w:tblGrid>
        <w:gridCol w:w="2340"/>
        <w:gridCol w:w="2340"/>
        <w:gridCol w:w="2640"/>
        <w:gridCol w:w="3195"/>
        <w:tblGridChange w:id="0">
          <w:tblGrid>
            <w:gridCol w:w="2340"/>
            <w:gridCol w:w="2340"/>
            <w:gridCol w:w="2640"/>
            <w:gridCol w:w="3195"/>
          </w:tblGrid>
        </w:tblGridChange>
      </w:tblGrid>
      <w:tr>
        <w:trPr>
          <w:cantSplit w:val="0"/>
          <w:tblHeader w:val="0"/>
        </w:trPr>
        <w:tc>
          <w:tcPr>
            <w:shd w:fill="f2f2f2" w:val="clear"/>
            <w:tcMar>
              <w:top w:w="70.0" w:type="dxa"/>
              <w:left w:w="90.0" w:type="dxa"/>
              <w:bottom w:w="70.0" w:type="dxa"/>
              <w:right w:w="90.0" w:type="dxa"/>
            </w:tcMar>
          </w:tcPr>
          <w:p w:rsidR="00000000" w:rsidDel="00000000" w:rsidP="00000000" w:rsidRDefault="00000000" w:rsidRPr="00000000" w14:paraId="0000000F">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Documento</w:t>
            </w:r>
            <w:r w:rsidDel="00000000" w:rsidR="00000000" w:rsidRPr="00000000">
              <w:rPr>
                <w:rtl w:val="0"/>
              </w:rPr>
            </w:r>
          </w:p>
        </w:tc>
        <w:tc>
          <w:tcPr>
            <w:shd w:fill="f2f2f2" w:val="clear"/>
            <w:tcMar>
              <w:top w:w="70.0" w:type="dxa"/>
              <w:left w:w="90.0" w:type="dxa"/>
              <w:bottom w:w="70.0" w:type="dxa"/>
              <w:right w:w="90.0" w:type="dxa"/>
            </w:tcMar>
          </w:tcPr>
          <w:p w:rsidR="00000000" w:rsidDel="00000000" w:rsidP="00000000" w:rsidRDefault="00000000" w:rsidRPr="00000000" w14:paraId="00000010">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Quién lo emite</w:t>
            </w:r>
            <w:r w:rsidDel="00000000" w:rsidR="00000000" w:rsidRPr="00000000">
              <w:rPr>
                <w:rtl w:val="0"/>
              </w:rPr>
            </w:r>
          </w:p>
        </w:tc>
        <w:tc>
          <w:tcPr>
            <w:shd w:fill="f2f2f2" w:val="clear"/>
            <w:tcMar>
              <w:top w:w="70.0" w:type="dxa"/>
              <w:left w:w="90.0" w:type="dxa"/>
              <w:bottom w:w="70.0" w:type="dxa"/>
              <w:right w:w="90.0" w:type="dxa"/>
            </w:tcMar>
          </w:tcPr>
          <w:p w:rsidR="00000000" w:rsidDel="00000000" w:rsidP="00000000" w:rsidRDefault="00000000" w:rsidRPr="00000000" w14:paraId="00000011">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Función principal</w:t>
            </w:r>
            <w:r w:rsidDel="00000000" w:rsidR="00000000" w:rsidRPr="00000000">
              <w:rPr>
                <w:rtl w:val="0"/>
              </w:rPr>
            </w:r>
          </w:p>
        </w:tc>
        <w:tc>
          <w:tcPr>
            <w:shd w:fill="f2f2f2" w:val="clear"/>
            <w:tcMar>
              <w:top w:w="70.0" w:type="dxa"/>
              <w:left w:w="90.0" w:type="dxa"/>
              <w:bottom w:w="70.0" w:type="dxa"/>
              <w:right w:w="90.0" w:type="dxa"/>
            </w:tcMar>
          </w:tcPr>
          <w:p w:rsidR="00000000" w:rsidDel="00000000" w:rsidP="00000000" w:rsidRDefault="00000000" w:rsidRPr="00000000" w14:paraId="00000012">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Etapa en que se utiliza</w:t>
            </w:r>
            <w:r w:rsidDel="00000000" w:rsidR="00000000" w:rsidRPr="00000000">
              <w:rPr>
                <w:rtl w:val="0"/>
              </w:rPr>
            </w:r>
          </w:p>
        </w:tc>
      </w:tr>
      <w:tr>
        <w:trPr>
          <w:cantSplit w:val="0"/>
          <w:trHeight w:val="2180.197" w:hRule="atLeast"/>
          <w:tblHeader w:val="0"/>
        </w:trPr>
        <w:tc>
          <w:tcPr>
            <w:tcMar>
              <w:top w:w="60.0" w:type="dxa"/>
              <w:left w:w="90.0" w:type="dxa"/>
              <w:bottom w:w="60.0" w:type="dxa"/>
              <w:right w:w="90.0" w:type="dxa"/>
            </w:tcMar>
          </w:tcPr>
          <w:p w:rsidR="00000000" w:rsidDel="00000000" w:rsidP="00000000" w:rsidRDefault="00000000" w:rsidRPr="00000000" w14:paraId="00000013">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Factura Comercial de Exportación (Factura 'E')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4">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TecnoFlow S.A. (a través del sistema </w:t>
            </w:r>
            <w:r w:rsidDel="00000000" w:rsidR="00000000" w:rsidRPr="00000000">
              <w:rPr>
                <w:rFonts w:ascii="Proxima Nova" w:cs="Proxima Nova" w:eastAsia="Proxima Nova" w:hAnsi="Proxima Nova"/>
                <w:sz w:val="19"/>
                <w:szCs w:val="19"/>
                <w:rtl w:val="0"/>
              </w:rPr>
              <w:t xml:space="preserve">ARCA</w:t>
            </w:r>
            <w:r w:rsidDel="00000000" w:rsidR="00000000" w:rsidRPr="00000000">
              <w:rPr>
                <w:rFonts w:ascii="Proxima Nova" w:cs="Proxima Nova" w:eastAsia="Proxima Nova" w:hAnsi="Proxima Nova"/>
                <w:color w:val="000000"/>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5">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Es el comprobante legal y contable de la venta. Fija el precio definitivo de las válvulas, la condición de venta (FOB) y sirve para determinar la base imponible aduanera y tramitar el cobro bancario.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6">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Despacho aduanero de exportación y presentación en el banco para cobrar.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7">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Conocimiento de </w:t>
            </w:r>
            <w:r w:rsidDel="00000000" w:rsidR="00000000" w:rsidRPr="00000000">
              <w:rPr>
                <w:rFonts w:ascii="Proxima Nova" w:cs="Proxima Nova" w:eastAsia="Proxima Nova" w:hAnsi="Proxima Nova"/>
                <w:sz w:val="19"/>
                <w:szCs w:val="19"/>
                <w:rtl w:val="0"/>
              </w:rPr>
              <w:t xml:space="preserve">e</w:t>
            </w:r>
            <w:r w:rsidDel="00000000" w:rsidR="00000000" w:rsidRPr="00000000">
              <w:rPr>
                <w:rFonts w:ascii="Proxima Nova" w:cs="Proxima Nova" w:eastAsia="Proxima Nova" w:hAnsi="Proxima Nova"/>
                <w:color w:val="000000"/>
                <w:sz w:val="19"/>
                <w:szCs w:val="19"/>
                <w:rtl w:val="0"/>
              </w:rPr>
              <w:t xml:space="preserve">mbarque (Bill of Lading - B/L)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8">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Compañía marítima o Forwarder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9">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Es el recibo de que la mercadería fue cargada a bordo del buque, prueba el contrato de transporte marítimo y representa el título de propiedad. Sin el B/L original, el comprador no puede retirar la carga en India.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A">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Post-embarque, negociación con los bancos y retiro de la carga en destino.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B">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Lista de </w:t>
            </w:r>
            <w:r w:rsidDel="00000000" w:rsidR="00000000" w:rsidRPr="00000000">
              <w:rPr>
                <w:rFonts w:ascii="Proxima Nova" w:cs="Proxima Nova" w:eastAsia="Proxima Nova" w:hAnsi="Proxima Nova"/>
                <w:sz w:val="19"/>
                <w:szCs w:val="19"/>
                <w:rtl w:val="0"/>
              </w:rPr>
              <w:t xml:space="preserve">e</w:t>
            </w:r>
            <w:r w:rsidDel="00000000" w:rsidR="00000000" w:rsidRPr="00000000">
              <w:rPr>
                <w:rFonts w:ascii="Proxima Nova" w:cs="Proxima Nova" w:eastAsia="Proxima Nova" w:hAnsi="Proxima Nova"/>
                <w:color w:val="000000"/>
                <w:sz w:val="19"/>
                <w:szCs w:val="19"/>
                <w:rtl w:val="0"/>
              </w:rPr>
              <w:t xml:space="preserve">mpaque (Packing 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C">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TecnoFlow 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D">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Detalla cómo está embalada la carga</w:t>
            </w:r>
            <w:r w:rsidDel="00000000" w:rsidR="00000000" w:rsidRPr="00000000">
              <w:rPr>
                <w:rFonts w:ascii="Proxima Nova" w:cs="Proxima Nova" w:eastAsia="Proxima Nova" w:hAnsi="Proxima Nova"/>
                <w:sz w:val="19"/>
                <w:szCs w:val="19"/>
                <w:rtl w:val="0"/>
              </w:rPr>
              <w:t xml:space="preserve">.</w:t>
            </w:r>
            <w:r w:rsidDel="00000000" w:rsidR="00000000" w:rsidRPr="00000000">
              <w:rPr>
                <w:rFonts w:ascii="Proxima Nova" w:cs="Proxima Nova" w:eastAsia="Proxima Nova" w:hAnsi="Proxima Nova"/>
                <w:color w:val="000000"/>
                <w:sz w:val="19"/>
                <w:szCs w:val="19"/>
                <w:rtl w:val="0"/>
              </w:rPr>
              <w:t xml:space="preserve"> </w:t>
            </w:r>
            <w:r w:rsidDel="00000000" w:rsidR="00000000" w:rsidRPr="00000000">
              <w:rPr>
                <w:rFonts w:ascii="Proxima Nova" w:cs="Proxima Nova" w:eastAsia="Proxima Nova" w:hAnsi="Proxima Nova"/>
                <w:sz w:val="19"/>
                <w:szCs w:val="19"/>
                <w:rtl w:val="0"/>
              </w:rPr>
              <w:t xml:space="preserve">C</w:t>
            </w:r>
            <w:r w:rsidDel="00000000" w:rsidR="00000000" w:rsidRPr="00000000">
              <w:rPr>
                <w:rFonts w:ascii="Proxima Nova" w:cs="Proxima Nova" w:eastAsia="Proxima Nova" w:hAnsi="Proxima Nova"/>
                <w:color w:val="000000"/>
                <w:sz w:val="19"/>
                <w:szCs w:val="19"/>
                <w:rtl w:val="0"/>
              </w:rPr>
              <w:t xml:space="preserve">antidad de cajones, contenido de cada uno, peso neto, peso bruto, volumen y marcas. Le sirve a la aduana para el control físico y a la naviera para la estiba.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E">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Despacho de aduana, carga en el puerto y desaduanamiento en India.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F">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Certificado de </w:t>
            </w:r>
            <w:r w:rsidDel="00000000" w:rsidR="00000000" w:rsidRPr="00000000">
              <w:rPr>
                <w:rFonts w:ascii="Proxima Nova" w:cs="Proxima Nova" w:eastAsia="Proxima Nova" w:hAnsi="Proxima Nova"/>
                <w:sz w:val="19"/>
                <w:szCs w:val="19"/>
                <w:rtl w:val="0"/>
              </w:rPr>
              <w:t xml:space="preserve">o</w:t>
            </w:r>
            <w:r w:rsidDel="00000000" w:rsidR="00000000" w:rsidRPr="00000000">
              <w:rPr>
                <w:rFonts w:ascii="Proxima Nova" w:cs="Proxima Nova" w:eastAsia="Proxima Nova" w:hAnsi="Proxima Nova"/>
                <w:color w:val="000000"/>
                <w:sz w:val="19"/>
                <w:szCs w:val="19"/>
                <w:rtl w:val="0"/>
              </w:rPr>
              <w:t xml:space="preserve">rigen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0">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Cámara de Comercio habilitada en Argentina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1">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Prueba de manera oficial que las válvulas fueron fabricadas en Argentina. La aduana de India lo exige para aplicar el tratamiento arancelario correspondiente a la importación.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2">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Despacho de importación en destino y cobro de la carta de crédito.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3">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Certificado de </w:t>
            </w:r>
            <w:r w:rsidDel="00000000" w:rsidR="00000000" w:rsidRPr="00000000">
              <w:rPr>
                <w:rFonts w:ascii="Proxima Nova" w:cs="Proxima Nova" w:eastAsia="Proxima Nova" w:hAnsi="Proxima Nova"/>
                <w:sz w:val="19"/>
                <w:szCs w:val="19"/>
                <w:rtl w:val="0"/>
              </w:rPr>
              <w:t xml:space="preserve">c</w:t>
            </w:r>
            <w:r w:rsidDel="00000000" w:rsidR="00000000" w:rsidRPr="00000000">
              <w:rPr>
                <w:rFonts w:ascii="Proxima Nova" w:cs="Proxima Nova" w:eastAsia="Proxima Nova" w:hAnsi="Proxima Nova"/>
                <w:color w:val="000000"/>
                <w:sz w:val="19"/>
                <w:szCs w:val="19"/>
                <w:rtl w:val="0"/>
              </w:rPr>
              <w:t xml:space="preserve">alidad e </w:t>
            </w:r>
            <w:r w:rsidDel="00000000" w:rsidR="00000000" w:rsidRPr="00000000">
              <w:rPr>
                <w:rFonts w:ascii="Proxima Nova" w:cs="Proxima Nova" w:eastAsia="Proxima Nova" w:hAnsi="Proxima Nova"/>
                <w:sz w:val="19"/>
                <w:szCs w:val="19"/>
                <w:rtl w:val="0"/>
              </w:rPr>
              <w:t xml:space="preserve">i</w:t>
            </w:r>
            <w:r w:rsidDel="00000000" w:rsidR="00000000" w:rsidRPr="00000000">
              <w:rPr>
                <w:rFonts w:ascii="Proxima Nova" w:cs="Proxima Nova" w:eastAsia="Proxima Nova" w:hAnsi="Proxima Nova"/>
                <w:color w:val="000000"/>
                <w:sz w:val="19"/>
                <w:szCs w:val="19"/>
                <w:rtl w:val="0"/>
              </w:rPr>
              <w:t xml:space="preserve">nspección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4">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Depto. de Calidad de TecnoFlow S.A. / Certificadora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5">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Garantiza que las 50 válvulas cumplen con las normas técnicas API 6D y tolerancias de presión solicitadas para la industria petroquímica.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6">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Control previo al embarque y presentación bancaria obligatoria para cobrar.</w:t>
            </w:r>
            <w:r w:rsidDel="00000000" w:rsidR="00000000" w:rsidRPr="00000000">
              <w:rPr>
                <w:rtl w:val="0"/>
              </w:rPr>
            </w:r>
          </w:p>
        </w:tc>
      </w:tr>
    </w:tbl>
    <w:p w:rsidR="00000000" w:rsidDel="00000000" w:rsidP="00000000" w:rsidRDefault="00000000" w:rsidRPr="00000000" w14:paraId="00000027">
      <w:pPr>
        <w:spacing w:after="100" w:line="276" w:lineRule="auto"/>
        <w:ind w:lef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keepNext w:val="1"/>
        <w:spacing w:after="120" w:before="28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6"/>
          <w:szCs w:val="26"/>
          <w:rtl w:val="0"/>
        </w:rPr>
        <w:t xml:space="preserve">3. Análisis de </w:t>
      </w:r>
      <w:r w:rsidDel="00000000" w:rsidR="00000000" w:rsidRPr="00000000">
        <w:rPr>
          <w:rFonts w:ascii="Proxima Nova" w:cs="Proxima Nova" w:eastAsia="Proxima Nova" w:hAnsi="Proxima Nova"/>
          <w:b w:val="1"/>
          <w:bCs w:val="1"/>
          <w:sz w:val="26"/>
          <w:szCs w:val="26"/>
          <w:rtl w:val="0"/>
        </w:rPr>
        <w:t xml:space="preserve">m</w:t>
      </w:r>
      <w:r w:rsidDel="00000000" w:rsidR="00000000" w:rsidRPr="00000000">
        <w:rPr>
          <w:rFonts w:ascii="Proxima Nova" w:cs="Proxima Nova" w:eastAsia="Proxima Nova" w:hAnsi="Proxima Nova"/>
          <w:b w:val="1"/>
          <w:bCs w:val="1"/>
          <w:color w:val="000000"/>
          <w:sz w:val="26"/>
          <w:szCs w:val="26"/>
          <w:rtl w:val="0"/>
        </w:rPr>
        <w:t xml:space="preserve">edios de </w:t>
      </w:r>
      <w:r w:rsidDel="00000000" w:rsidR="00000000" w:rsidRPr="00000000">
        <w:rPr>
          <w:rFonts w:ascii="Proxima Nova" w:cs="Proxima Nova" w:eastAsia="Proxima Nova" w:hAnsi="Proxima Nova"/>
          <w:b w:val="1"/>
          <w:bCs w:val="1"/>
          <w:sz w:val="26"/>
          <w:szCs w:val="26"/>
          <w:rtl w:val="0"/>
        </w:rPr>
        <w:t xml:space="preserve">p</w:t>
      </w:r>
      <w:r w:rsidDel="00000000" w:rsidR="00000000" w:rsidRPr="00000000">
        <w:rPr>
          <w:rFonts w:ascii="Proxima Nova" w:cs="Proxima Nova" w:eastAsia="Proxima Nova" w:hAnsi="Proxima Nova"/>
          <w:b w:val="1"/>
          <w:bCs w:val="1"/>
          <w:color w:val="000000"/>
          <w:sz w:val="26"/>
          <w:szCs w:val="26"/>
          <w:rtl w:val="0"/>
        </w:rPr>
        <w:t xml:space="preserve">ago </w:t>
      </w:r>
      <w:r w:rsidDel="00000000" w:rsidR="00000000" w:rsidRPr="00000000">
        <w:rPr>
          <w:rFonts w:ascii="Proxima Nova" w:cs="Proxima Nova" w:eastAsia="Proxima Nova" w:hAnsi="Proxima Nova"/>
          <w:b w:val="1"/>
          <w:bCs w:val="1"/>
          <w:sz w:val="26"/>
          <w:szCs w:val="26"/>
          <w:rtl w:val="0"/>
        </w:rPr>
        <w:t xml:space="preserve">i</w:t>
      </w:r>
      <w:r w:rsidDel="00000000" w:rsidR="00000000" w:rsidRPr="00000000">
        <w:rPr>
          <w:rFonts w:ascii="Proxima Nova" w:cs="Proxima Nova" w:eastAsia="Proxima Nova" w:hAnsi="Proxima Nova"/>
          <w:b w:val="1"/>
          <w:bCs w:val="1"/>
          <w:color w:val="000000"/>
          <w:sz w:val="26"/>
          <w:szCs w:val="26"/>
          <w:rtl w:val="0"/>
        </w:rPr>
        <w:t xml:space="preserve">nternacionales</w:t>
      </w:r>
      <w:r w:rsidDel="00000000" w:rsidR="00000000" w:rsidRPr="00000000">
        <w:rPr>
          <w:rtl w:val="0"/>
        </w:rPr>
      </w:r>
    </w:p>
    <w:p w:rsidR="00000000" w:rsidDel="00000000" w:rsidP="00000000" w:rsidRDefault="00000000" w:rsidRPr="00000000" w14:paraId="00000029">
      <w:pPr>
        <w:keepNext w:val="1"/>
        <w:spacing w:after="80" w:before="200" w:lineRule="auto"/>
        <w:jc w:val="both"/>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3.1. Evaluación de tres alternativas</w:t>
      </w:r>
      <w:r w:rsidDel="00000000" w:rsidR="00000000" w:rsidRPr="00000000">
        <w:rPr>
          <w:rtl w:val="0"/>
        </w:rPr>
      </w:r>
    </w:p>
    <w:p w:rsidR="00000000" w:rsidDel="00000000" w:rsidP="00000000" w:rsidRDefault="00000000" w:rsidRPr="00000000" w14:paraId="0000002A">
      <w:pPr>
        <w:spacing w:after="100" w:line="276" w:lineRule="auto"/>
        <w:jc w:val="both"/>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1. Transferencia </w:t>
      </w:r>
      <w:r w:rsidDel="00000000" w:rsidR="00000000" w:rsidRPr="00000000">
        <w:rPr>
          <w:rFonts w:ascii="Proxima Nova" w:cs="Proxima Nova" w:eastAsia="Proxima Nova" w:hAnsi="Proxima Nova"/>
          <w:b w:val="1"/>
          <w:bCs w:val="1"/>
          <w:rtl w:val="0"/>
        </w:rPr>
        <w:t xml:space="preserve">b</w:t>
      </w:r>
      <w:r w:rsidDel="00000000" w:rsidR="00000000" w:rsidRPr="00000000">
        <w:rPr>
          <w:rFonts w:ascii="Proxima Nova" w:cs="Proxima Nova" w:eastAsia="Proxima Nova" w:hAnsi="Proxima Nova"/>
          <w:b w:val="1"/>
          <w:bCs w:val="1"/>
          <w:color w:val="000000"/>
          <w:sz w:val="22"/>
          <w:szCs w:val="22"/>
          <w:rtl w:val="0"/>
        </w:rPr>
        <w:t xml:space="preserve">ancaria (Orden de </w:t>
      </w:r>
      <w:r w:rsidDel="00000000" w:rsidR="00000000" w:rsidRPr="00000000">
        <w:rPr>
          <w:rFonts w:ascii="Proxima Nova" w:cs="Proxima Nova" w:eastAsia="Proxima Nova" w:hAnsi="Proxima Nova"/>
          <w:b w:val="1"/>
          <w:bCs w:val="1"/>
          <w:rtl w:val="0"/>
        </w:rPr>
        <w:t xml:space="preserve">p</w:t>
      </w:r>
      <w:r w:rsidDel="00000000" w:rsidR="00000000" w:rsidRPr="00000000">
        <w:rPr>
          <w:rFonts w:ascii="Proxima Nova" w:cs="Proxima Nova" w:eastAsia="Proxima Nova" w:hAnsi="Proxima Nova"/>
          <w:b w:val="1"/>
          <w:bCs w:val="1"/>
          <w:color w:val="000000"/>
          <w:sz w:val="22"/>
          <w:szCs w:val="22"/>
          <w:rtl w:val="0"/>
        </w:rPr>
        <w:t xml:space="preserve">ago): </w:t>
      </w:r>
      <w:r w:rsidDel="00000000" w:rsidR="00000000" w:rsidRPr="00000000">
        <w:rPr>
          <w:rFonts w:ascii="Proxima Nova" w:cs="Proxima Nova" w:eastAsia="Proxima Nova" w:hAnsi="Proxima Nova"/>
          <w:color w:val="000000"/>
          <w:sz w:val="22"/>
          <w:szCs w:val="22"/>
          <w:rtl w:val="0"/>
        </w:rPr>
        <w:t xml:space="preserve">Es una transferencia bancaria directa enviada por el importador a través del sistema SWIFT. Si se pacta en forma anticipada, la ventaja es para TecnoFlow porque cobra antes de producir, pero para PetroTech es un riesgo enviar USD 100.000 sin tener garantías de cuándo o cómo le van a enviar la mercadería. Si se pacta diferida, el beneficio es para el importador que recibe la carga antes de pagar, pero TecnoFlow asume el riesgo de que el cliente no pague o quiebre en India sin ningún respaldo bancario.</w:t>
      </w:r>
      <w:r w:rsidDel="00000000" w:rsidR="00000000" w:rsidRPr="00000000">
        <w:rPr>
          <w:rtl w:val="0"/>
        </w:rPr>
      </w:r>
    </w:p>
    <w:p w:rsidR="00000000" w:rsidDel="00000000" w:rsidP="00000000" w:rsidRDefault="00000000" w:rsidRPr="00000000" w14:paraId="0000002B">
      <w:pPr>
        <w:spacing w:after="100" w:line="276" w:lineRule="auto"/>
        <w:jc w:val="both"/>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2. Cobranza </w:t>
      </w:r>
      <w:r w:rsidDel="00000000" w:rsidR="00000000" w:rsidRPr="00000000">
        <w:rPr>
          <w:rFonts w:ascii="Proxima Nova" w:cs="Proxima Nova" w:eastAsia="Proxima Nova" w:hAnsi="Proxima Nova"/>
          <w:b w:val="1"/>
          <w:bCs w:val="1"/>
          <w:rtl w:val="0"/>
        </w:rPr>
        <w:t xml:space="preserve">d</w:t>
      </w:r>
      <w:r w:rsidDel="00000000" w:rsidR="00000000" w:rsidRPr="00000000">
        <w:rPr>
          <w:rFonts w:ascii="Proxima Nova" w:cs="Proxima Nova" w:eastAsia="Proxima Nova" w:hAnsi="Proxima Nova"/>
          <w:b w:val="1"/>
          <w:bCs w:val="1"/>
          <w:color w:val="000000"/>
          <w:sz w:val="22"/>
          <w:szCs w:val="22"/>
          <w:rtl w:val="0"/>
        </w:rPr>
        <w:t xml:space="preserve">ocumentaria: </w:t>
      </w:r>
      <w:r w:rsidDel="00000000" w:rsidR="00000000" w:rsidRPr="00000000">
        <w:rPr>
          <w:rFonts w:ascii="Proxima Nova" w:cs="Proxima Nova" w:eastAsia="Proxima Nova" w:hAnsi="Proxima Nova"/>
          <w:color w:val="000000"/>
          <w:sz w:val="22"/>
          <w:szCs w:val="22"/>
          <w:rtl w:val="0"/>
        </w:rPr>
        <w:t xml:space="preserve">Regulada por la CCI (normas URC 522). En este caso, TecnoFlow despacha las válvulas y le entrega los documentos comerciales a su banco local, que los envía al banco de PetroTech en India. El banco indio solo le entrega los documentos (especialmente el B/L) a PetroTech si esta paga en el acto (modalidad contra pago - D/P). La ventaja es que es más barata que una carta de crédito y el importador no puede retirar la carga sin pagar. La desventaja para el exportador es que los bancos solo son intermediarios y no garantizan el dinero</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color w:val="000000"/>
          <w:sz w:val="22"/>
          <w:szCs w:val="22"/>
          <w:rtl w:val="0"/>
        </w:rPr>
        <w:t xml:space="preserve"> </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color w:val="000000"/>
          <w:sz w:val="22"/>
          <w:szCs w:val="22"/>
          <w:rtl w:val="0"/>
        </w:rPr>
        <w:t xml:space="preserve">i el cliente rechaza la compra con el barco ya llegado a la India, TecnoFlow queda con las válvulas varadas allá, teniendo que pagar almacenaje portuario en dólares o un flete de regreso.</w:t>
      </w:r>
      <w:r w:rsidDel="00000000" w:rsidR="00000000" w:rsidRPr="00000000">
        <w:rPr>
          <w:rtl w:val="0"/>
        </w:rPr>
      </w:r>
    </w:p>
    <w:p w:rsidR="00000000" w:rsidDel="00000000" w:rsidP="00000000" w:rsidRDefault="00000000" w:rsidRPr="00000000" w14:paraId="0000002C">
      <w:pPr>
        <w:spacing w:after="100" w:line="276" w:lineRule="auto"/>
        <w:jc w:val="both"/>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3. Carta de </w:t>
      </w:r>
      <w:r w:rsidDel="00000000" w:rsidR="00000000" w:rsidRPr="00000000">
        <w:rPr>
          <w:rFonts w:ascii="Proxima Nova" w:cs="Proxima Nova" w:eastAsia="Proxima Nova" w:hAnsi="Proxima Nova"/>
          <w:b w:val="1"/>
          <w:bCs w:val="1"/>
          <w:rtl w:val="0"/>
        </w:rPr>
        <w:t xml:space="preserve">c</w:t>
      </w:r>
      <w:r w:rsidDel="00000000" w:rsidR="00000000" w:rsidRPr="00000000">
        <w:rPr>
          <w:rFonts w:ascii="Proxima Nova" w:cs="Proxima Nova" w:eastAsia="Proxima Nova" w:hAnsi="Proxima Nova"/>
          <w:b w:val="1"/>
          <w:bCs w:val="1"/>
          <w:color w:val="000000"/>
          <w:sz w:val="22"/>
          <w:szCs w:val="22"/>
          <w:rtl w:val="0"/>
        </w:rPr>
        <w:t xml:space="preserve">rédito </w:t>
      </w:r>
      <w:r w:rsidDel="00000000" w:rsidR="00000000" w:rsidRPr="00000000">
        <w:rPr>
          <w:rFonts w:ascii="Proxima Nova" w:cs="Proxima Nova" w:eastAsia="Proxima Nova" w:hAnsi="Proxima Nova"/>
          <w:b w:val="1"/>
          <w:bCs w:val="1"/>
          <w:rtl w:val="0"/>
        </w:rPr>
        <w:t xml:space="preserve">i</w:t>
      </w:r>
      <w:r w:rsidDel="00000000" w:rsidR="00000000" w:rsidRPr="00000000">
        <w:rPr>
          <w:rFonts w:ascii="Proxima Nova" w:cs="Proxima Nova" w:eastAsia="Proxima Nova" w:hAnsi="Proxima Nova"/>
          <w:b w:val="1"/>
          <w:bCs w:val="1"/>
          <w:color w:val="000000"/>
          <w:sz w:val="22"/>
          <w:szCs w:val="22"/>
          <w:rtl w:val="0"/>
        </w:rPr>
        <w:t xml:space="preserve">rrevocable y </w:t>
      </w:r>
      <w:r w:rsidDel="00000000" w:rsidR="00000000" w:rsidRPr="00000000">
        <w:rPr>
          <w:rFonts w:ascii="Proxima Nova" w:cs="Proxima Nova" w:eastAsia="Proxima Nova" w:hAnsi="Proxima Nova"/>
          <w:b w:val="1"/>
          <w:bCs w:val="1"/>
          <w:rtl w:val="0"/>
        </w:rPr>
        <w:t xml:space="preserve">c</w:t>
      </w:r>
      <w:r w:rsidDel="00000000" w:rsidR="00000000" w:rsidRPr="00000000">
        <w:rPr>
          <w:rFonts w:ascii="Proxima Nova" w:cs="Proxima Nova" w:eastAsia="Proxima Nova" w:hAnsi="Proxima Nova"/>
          <w:b w:val="1"/>
          <w:bCs w:val="1"/>
          <w:color w:val="000000"/>
          <w:sz w:val="22"/>
          <w:szCs w:val="22"/>
          <w:rtl w:val="0"/>
        </w:rPr>
        <w:t xml:space="preserve">onfirmada: </w:t>
      </w:r>
      <w:r w:rsidDel="00000000" w:rsidR="00000000" w:rsidRPr="00000000">
        <w:rPr>
          <w:rFonts w:ascii="Proxima Nova" w:cs="Proxima Nova" w:eastAsia="Proxima Nova" w:hAnsi="Proxima Nova"/>
          <w:color w:val="000000"/>
          <w:sz w:val="22"/>
          <w:szCs w:val="22"/>
          <w:rtl w:val="0"/>
        </w:rPr>
        <w:t xml:space="preserve">Regulada por las normas UCP 600 de la CCI. Es un compromiso en el cual un banco en India (emisor) y un banco en Argentina (confirmador) se obligan a pagarle a TecnoFlow contra la entrega de los documentos estipulados en tiempo y forma. Para el exportador es la opción más segura porque no depende de la voluntad de pago de PetroTech ni de los vaivenes de la India, sino del compromiso formal de los bancos. Para PetroTech también es seguro porque el banco no paga si TecnoFlow no presenta el B/L que prueba el embarque y los certificados de calidad.</w:t>
      </w:r>
      <w:r w:rsidDel="00000000" w:rsidR="00000000" w:rsidRPr="00000000">
        <w:rPr>
          <w:rtl w:val="0"/>
        </w:rPr>
      </w:r>
    </w:p>
    <w:p w:rsidR="00000000" w:rsidDel="00000000" w:rsidP="00000000" w:rsidRDefault="00000000" w:rsidRPr="00000000" w14:paraId="0000002D">
      <w:pPr>
        <w:keepNext w:val="1"/>
        <w:spacing w:after="80" w:before="20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3.2. Cuadro comparativo</w:t>
      </w:r>
      <w:r w:rsidDel="00000000" w:rsidR="00000000" w:rsidRPr="00000000">
        <w:rPr>
          <w:rtl w:val="0"/>
        </w:rPr>
      </w:r>
    </w:p>
    <w:tbl>
      <w:tblPr>
        <w:tblStyle w:val="Table2"/>
        <w:tblW w:w="9360.0" w:type="dxa"/>
        <w:jc w:val="center"/>
        <w:tblBorders>
          <w:top w:color="999999" w:space="0" w:sz="6" w:val="single"/>
          <w:left w:color="999999" w:space="0" w:sz="6" w:val="single"/>
          <w:bottom w:color="999999" w:space="0" w:sz="6" w:val="single"/>
          <w:right w:color="999999" w:space="0" w:sz="6"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70.0" w:type="dxa"/>
              <w:left w:w="90.0" w:type="dxa"/>
              <w:bottom w:w="70.0" w:type="dxa"/>
              <w:right w:w="90.0" w:type="dxa"/>
            </w:tcMar>
          </w:tcPr>
          <w:p w:rsidR="00000000" w:rsidDel="00000000" w:rsidP="00000000" w:rsidRDefault="00000000" w:rsidRPr="00000000" w14:paraId="0000002E">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Medio de pago</w:t>
            </w:r>
            <w:r w:rsidDel="00000000" w:rsidR="00000000" w:rsidRPr="00000000">
              <w:rPr>
                <w:rtl w:val="0"/>
              </w:rPr>
            </w:r>
          </w:p>
        </w:tc>
        <w:tc>
          <w:tcPr>
            <w:shd w:fill="f2f2f2" w:val="clear"/>
            <w:tcMar>
              <w:top w:w="70.0" w:type="dxa"/>
              <w:left w:w="90.0" w:type="dxa"/>
              <w:bottom w:w="70.0" w:type="dxa"/>
              <w:right w:w="90.0" w:type="dxa"/>
            </w:tcMar>
          </w:tcPr>
          <w:p w:rsidR="00000000" w:rsidDel="00000000" w:rsidP="00000000" w:rsidRDefault="00000000" w:rsidRPr="00000000" w14:paraId="0000002F">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Ventajas</w:t>
            </w:r>
            <w:r w:rsidDel="00000000" w:rsidR="00000000" w:rsidRPr="00000000">
              <w:rPr>
                <w:rtl w:val="0"/>
              </w:rPr>
            </w:r>
          </w:p>
        </w:tc>
        <w:tc>
          <w:tcPr>
            <w:shd w:fill="f2f2f2" w:val="clear"/>
            <w:tcMar>
              <w:top w:w="70.0" w:type="dxa"/>
              <w:left w:w="90.0" w:type="dxa"/>
              <w:bottom w:w="70.0" w:type="dxa"/>
              <w:right w:w="90.0" w:type="dxa"/>
            </w:tcMar>
          </w:tcPr>
          <w:p w:rsidR="00000000" w:rsidDel="00000000" w:rsidP="00000000" w:rsidRDefault="00000000" w:rsidRPr="00000000" w14:paraId="00000030">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Riesgos para el exportador</w:t>
            </w:r>
            <w:r w:rsidDel="00000000" w:rsidR="00000000" w:rsidRPr="00000000">
              <w:rPr>
                <w:rtl w:val="0"/>
              </w:rPr>
            </w:r>
          </w:p>
        </w:tc>
        <w:tc>
          <w:tcPr>
            <w:shd w:fill="f2f2f2" w:val="clear"/>
            <w:tcMar>
              <w:top w:w="70.0" w:type="dxa"/>
              <w:left w:w="90.0" w:type="dxa"/>
              <w:bottom w:w="70.0" w:type="dxa"/>
              <w:right w:w="90.0" w:type="dxa"/>
            </w:tcMar>
          </w:tcPr>
          <w:p w:rsidR="00000000" w:rsidDel="00000000" w:rsidP="00000000" w:rsidRDefault="00000000" w:rsidRPr="00000000" w14:paraId="00000031">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0"/>
                <w:szCs w:val="20"/>
                <w:rtl w:val="0"/>
              </w:rPr>
              <w:t xml:space="preserve">Riesgos para el importador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2">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Transferencia </w:t>
            </w:r>
            <w:r w:rsidDel="00000000" w:rsidR="00000000" w:rsidRPr="00000000">
              <w:rPr>
                <w:rFonts w:ascii="Proxima Nova" w:cs="Proxima Nova" w:eastAsia="Proxima Nova" w:hAnsi="Proxima Nova"/>
                <w:sz w:val="19"/>
                <w:szCs w:val="19"/>
                <w:rtl w:val="0"/>
              </w:rPr>
              <w:t xml:space="preserve">b</w:t>
            </w:r>
            <w:r w:rsidDel="00000000" w:rsidR="00000000" w:rsidRPr="00000000">
              <w:rPr>
                <w:rFonts w:ascii="Proxima Nova" w:cs="Proxima Nova" w:eastAsia="Proxima Nova" w:hAnsi="Proxima Nova"/>
                <w:color w:val="000000"/>
                <w:sz w:val="19"/>
                <w:szCs w:val="19"/>
                <w:rtl w:val="0"/>
              </w:rPr>
              <w:t xml:space="preserve">ancaria </w:t>
            </w:r>
            <w:r w:rsidDel="00000000" w:rsidR="00000000" w:rsidRPr="00000000">
              <w:rPr>
                <w:rFonts w:ascii="Proxima Nova" w:cs="Proxima Nova" w:eastAsia="Proxima Nova" w:hAnsi="Proxima Nova"/>
                <w:sz w:val="19"/>
                <w:szCs w:val="19"/>
                <w:rtl w:val="0"/>
              </w:rPr>
              <w:t xml:space="preserve">d</w:t>
            </w:r>
            <w:r w:rsidDel="00000000" w:rsidR="00000000" w:rsidRPr="00000000">
              <w:rPr>
                <w:rFonts w:ascii="Proxima Nova" w:cs="Proxima Nova" w:eastAsia="Proxima Nova" w:hAnsi="Proxima Nova"/>
                <w:color w:val="000000"/>
                <w:sz w:val="19"/>
                <w:szCs w:val="19"/>
                <w:rtl w:val="0"/>
              </w:rPr>
              <w:t xml:space="preserve">iferida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3">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Trámite rápido y bajo costo bancario. Le da financiación comercial al importador.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4">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Riesgo de impago. No hay ninguna garantía bancaria si el comprador desconoce la deuda.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5">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Riesgo nulo</w:t>
            </w:r>
            <w:r w:rsidDel="00000000" w:rsidR="00000000" w:rsidRPr="00000000">
              <w:rPr>
                <w:rFonts w:ascii="Proxima Nova" w:cs="Proxima Nova" w:eastAsia="Proxima Nova" w:hAnsi="Proxima Nova"/>
                <w:sz w:val="19"/>
                <w:szCs w:val="19"/>
                <w:rtl w:val="0"/>
              </w:rPr>
              <w:t xml:space="preserve">.</w:t>
            </w:r>
            <w:r w:rsidDel="00000000" w:rsidR="00000000" w:rsidRPr="00000000">
              <w:rPr>
                <w:rFonts w:ascii="Proxima Nova" w:cs="Proxima Nova" w:eastAsia="Proxima Nova" w:hAnsi="Proxima Nova"/>
                <w:color w:val="000000"/>
                <w:sz w:val="19"/>
                <w:szCs w:val="19"/>
                <w:rtl w:val="0"/>
              </w:rPr>
              <w:t xml:space="preserve"> </w:t>
            </w:r>
            <w:r w:rsidDel="00000000" w:rsidR="00000000" w:rsidRPr="00000000">
              <w:rPr>
                <w:rFonts w:ascii="Proxima Nova" w:cs="Proxima Nova" w:eastAsia="Proxima Nova" w:hAnsi="Proxima Nova"/>
                <w:sz w:val="19"/>
                <w:szCs w:val="19"/>
                <w:rtl w:val="0"/>
              </w:rPr>
              <w:t xml:space="preserve">P</w:t>
            </w:r>
            <w:r w:rsidDel="00000000" w:rsidR="00000000" w:rsidRPr="00000000">
              <w:rPr>
                <w:rFonts w:ascii="Proxima Nova" w:cs="Proxima Nova" w:eastAsia="Proxima Nova" w:hAnsi="Proxima Nova"/>
                <w:color w:val="000000"/>
                <w:sz w:val="19"/>
                <w:szCs w:val="19"/>
                <w:rtl w:val="0"/>
              </w:rPr>
              <w:t xml:space="preserve">aga recién después de recibir la mercadería.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6">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Cobranza </w:t>
            </w:r>
            <w:r w:rsidDel="00000000" w:rsidR="00000000" w:rsidRPr="00000000">
              <w:rPr>
                <w:rFonts w:ascii="Proxima Nova" w:cs="Proxima Nova" w:eastAsia="Proxima Nova" w:hAnsi="Proxima Nova"/>
                <w:sz w:val="19"/>
                <w:szCs w:val="19"/>
                <w:rtl w:val="0"/>
              </w:rPr>
              <w:t xml:space="preserve">d</w:t>
            </w:r>
            <w:r w:rsidDel="00000000" w:rsidR="00000000" w:rsidRPr="00000000">
              <w:rPr>
                <w:rFonts w:ascii="Proxima Nova" w:cs="Proxima Nova" w:eastAsia="Proxima Nova" w:hAnsi="Proxima Nova"/>
                <w:color w:val="000000"/>
                <w:sz w:val="19"/>
                <w:szCs w:val="19"/>
                <w:rtl w:val="0"/>
              </w:rPr>
              <w:t xml:space="preserve">ocumentaria (D/P)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Costo intermedio. El importador no puede sacar la mercadería de la aduana sin pagar.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Los bancos no garantizan el pago. Si el comprador no retira los documentos, la carga queda abandonada en India.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9">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Paga al ver los papeles en el banco antes de poder revisar físicamente el producto.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A">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Carta de </w:t>
            </w:r>
            <w:r w:rsidDel="00000000" w:rsidR="00000000" w:rsidRPr="00000000">
              <w:rPr>
                <w:rFonts w:ascii="Proxima Nova" w:cs="Proxima Nova" w:eastAsia="Proxima Nova" w:hAnsi="Proxima Nova"/>
                <w:sz w:val="19"/>
                <w:szCs w:val="19"/>
                <w:rtl w:val="0"/>
              </w:rPr>
              <w:t xml:space="preserve">c</w:t>
            </w:r>
            <w:r w:rsidDel="00000000" w:rsidR="00000000" w:rsidRPr="00000000">
              <w:rPr>
                <w:rFonts w:ascii="Proxima Nova" w:cs="Proxima Nova" w:eastAsia="Proxima Nova" w:hAnsi="Proxima Nova"/>
                <w:color w:val="000000"/>
                <w:sz w:val="19"/>
                <w:szCs w:val="19"/>
                <w:rtl w:val="0"/>
              </w:rPr>
              <w:t xml:space="preserve">rédito </w:t>
            </w:r>
            <w:r w:rsidDel="00000000" w:rsidR="00000000" w:rsidRPr="00000000">
              <w:rPr>
                <w:rFonts w:ascii="Proxima Nova" w:cs="Proxima Nova" w:eastAsia="Proxima Nova" w:hAnsi="Proxima Nova"/>
                <w:sz w:val="19"/>
                <w:szCs w:val="19"/>
                <w:rtl w:val="0"/>
              </w:rPr>
              <w:t xml:space="preserve">c</w:t>
            </w:r>
            <w:r w:rsidDel="00000000" w:rsidR="00000000" w:rsidRPr="00000000">
              <w:rPr>
                <w:rFonts w:ascii="Proxima Nova" w:cs="Proxima Nova" w:eastAsia="Proxima Nova" w:hAnsi="Proxima Nova"/>
                <w:color w:val="000000"/>
                <w:sz w:val="19"/>
                <w:szCs w:val="19"/>
                <w:rtl w:val="0"/>
              </w:rPr>
              <w:t xml:space="preserve">onfirmada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B">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Seguridad de cobro respaldada por bancos. Permite a TecnoFlow pedir </w:t>
            </w:r>
            <w:r w:rsidDel="00000000" w:rsidR="00000000" w:rsidRPr="00000000">
              <w:rPr>
                <w:rFonts w:ascii="Proxima Nova" w:cs="Proxima Nova" w:eastAsia="Proxima Nova" w:hAnsi="Proxima Nova"/>
                <w:color w:val="000000"/>
                <w:sz w:val="19"/>
                <w:szCs w:val="19"/>
                <w:rtl w:val="0"/>
              </w:rPr>
              <w:t xml:space="preserve">prefinanciación</w:t>
            </w:r>
            <w:r w:rsidDel="00000000" w:rsidR="00000000" w:rsidRPr="00000000">
              <w:rPr>
                <w:rFonts w:ascii="Proxima Nova" w:cs="Proxima Nova" w:eastAsia="Proxima Nova" w:hAnsi="Proxima Nova"/>
                <w:color w:val="000000"/>
                <w:sz w:val="19"/>
                <w:szCs w:val="19"/>
                <w:rtl w:val="0"/>
              </w:rPr>
              <w:t xml:space="preserve"> para fabricar.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C">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Exige que los documentos estén perfectos, cualquier error frena el pago. Comisiones bancarias más altas.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D">
            <w:pPr>
              <w:spacing w:after="4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19"/>
                <w:szCs w:val="19"/>
                <w:rtl w:val="0"/>
              </w:rPr>
              <w:t xml:space="preserve">Tiene que inmovilizar línea de crédito en su banco y pagar costos de apertura.</w:t>
            </w:r>
            <w:r w:rsidDel="00000000" w:rsidR="00000000" w:rsidRPr="00000000">
              <w:rPr>
                <w:rtl w:val="0"/>
              </w:rPr>
            </w:r>
          </w:p>
        </w:tc>
      </w:tr>
    </w:tbl>
    <w:p w:rsidR="00000000" w:rsidDel="00000000" w:rsidP="00000000" w:rsidRDefault="00000000" w:rsidRPr="00000000" w14:paraId="0000003E">
      <w:pPr>
        <w:keepNext w:val="1"/>
        <w:spacing w:after="80" w:before="20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sz w:val="22"/>
          <w:szCs w:val="22"/>
          <w:rtl w:val="0"/>
        </w:rPr>
        <w:t xml:space="preserve">3.3. Elección del medio más adecuado y justificación</w:t>
      </w:r>
      <w:r w:rsidDel="00000000" w:rsidR="00000000" w:rsidRPr="00000000">
        <w:rPr>
          <w:rtl w:val="0"/>
        </w:rPr>
      </w:r>
    </w:p>
    <w:p w:rsidR="00000000" w:rsidDel="00000000" w:rsidP="00000000" w:rsidRDefault="00000000" w:rsidRPr="00000000" w14:paraId="0000003F">
      <w:pPr>
        <w:spacing w:after="100" w:line="276" w:lineRule="auto"/>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Para esta operación </w:t>
      </w:r>
      <w:r w:rsidDel="00000000" w:rsidR="00000000" w:rsidRPr="00000000">
        <w:rPr>
          <w:rFonts w:ascii="Proxima Nova" w:cs="Proxima Nova" w:eastAsia="Proxima Nova" w:hAnsi="Proxima Nova"/>
          <w:rtl w:val="0"/>
        </w:rPr>
        <w:t xml:space="preserve">se elige </w:t>
      </w:r>
      <w:r w:rsidDel="00000000" w:rsidR="00000000" w:rsidRPr="00000000">
        <w:rPr>
          <w:rFonts w:ascii="Proxima Nova" w:cs="Proxima Nova" w:eastAsia="Proxima Nova" w:hAnsi="Proxima Nova"/>
          <w:color w:val="000000"/>
          <w:sz w:val="22"/>
          <w:szCs w:val="22"/>
          <w:rtl w:val="0"/>
        </w:rPr>
        <w:t xml:space="preserve">la Carta de </w:t>
      </w:r>
      <w:r w:rsidDel="00000000" w:rsidR="00000000" w:rsidRPr="00000000">
        <w:rPr>
          <w:rFonts w:ascii="Proxima Nova" w:cs="Proxima Nova" w:eastAsia="Proxima Nova" w:hAnsi="Proxima Nova"/>
          <w:rtl w:val="0"/>
        </w:rPr>
        <w:t xml:space="preserve">c</w:t>
      </w:r>
      <w:r w:rsidDel="00000000" w:rsidR="00000000" w:rsidRPr="00000000">
        <w:rPr>
          <w:rFonts w:ascii="Proxima Nova" w:cs="Proxima Nova" w:eastAsia="Proxima Nova" w:hAnsi="Proxima Nova"/>
          <w:color w:val="000000"/>
          <w:sz w:val="22"/>
          <w:szCs w:val="22"/>
          <w:rtl w:val="0"/>
        </w:rPr>
        <w:t xml:space="preserve">rédito </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color w:val="000000"/>
          <w:sz w:val="22"/>
          <w:szCs w:val="22"/>
          <w:rtl w:val="0"/>
        </w:rPr>
        <w:t xml:space="preserve">rrevocable, </w:t>
      </w:r>
      <w:r w:rsidDel="00000000" w:rsidR="00000000" w:rsidRPr="00000000">
        <w:rPr>
          <w:rFonts w:ascii="Proxima Nova" w:cs="Proxima Nova" w:eastAsia="Proxima Nova" w:hAnsi="Proxima Nova"/>
          <w:rtl w:val="0"/>
        </w:rPr>
        <w:t xml:space="preserve">c</w:t>
      </w:r>
      <w:r w:rsidDel="00000000" w:rsidR="00000000" w:rsidRPr="00000000">
        <w:rPr>
          <w:rFonts w:ascii="Proxima Nova" w:cs="Proxima Nova" w:eastAsia="Proxima Nova" w:hAnsi="Proxima Nova"/>
          <w:color w:val="000000"/>
          <w:sz w:val="22"/>
          <w:szCs w:val="22"/>
          <w:rtl w:val="0"/>
        </w:rPr>
        <w:t xml:space="preserve">onfirmada y </w:t>
      </w:r>
      <w:r w:rsidDel="00000000" w:rsidR="00000000" w:rsidRPr="00000000">
        <w:rPr>
          <w:rFonts w:ascii="Proxima Nova" w:cs="Proxima Nova" w:eastAsia="Proxima Nova" w:hAnsi="Proxima Nova"/>
          <w:rtl w:val="0"/>
        </w:rPr>
        <w:t xml:space="preserve">p</w:t>
      </w:r>
      <w:r w:rsidDel="00000000" w:rsidR="00000000" w:rsidRPr="00000000">
        <w:rPr>
          <w:rFonts w:ascii="Proxima Nova" w:cs="Proxima Nova" w:eastAsia="Proxima Nova" w:hAnsi="Proxima Nova"/>
          <w:color w:val="000000"/>
          <w:sz w:val="22"/>
          <w:szCs w:val="22"/>
          <w:rtl w:val="0"/>
        </w:rPr>
        <w:t xml:space="preserve">agadera a la </w:t>
      </w:r>
      <w:r w:rsidDel="00000000" w:rsidR="00000000" w:rsidRPr="00000000">
        <w:rPr>
          <w:rFonts w:ascii="Proxima Nova" w:cs="Proxima Nova" w:eastAsia="Proxima Nova" w:hAnsi="Proxima Nova"/>
          <w:rtl w:val="0"/>
        </w:rPr>
        <w:t xml:space="preserve">v</w:t>
      </w:r>
      <w:r w:rsidDel="00000000" w:rsidR="00000000" w:rsidRPr="00000000">
        <w:rPr>
          <w:rFonts w:ascii="Proxima Nova" w:cs="Proxima Nova" w:eastAsia="Proxima Nova" w:hAnsi="Proxima Nova"/>
          <w:color w:val="000000"/>
          <w:sz w:val="22"/>
          <w:szCs w:val="22"/>
          <w:rtl w:val="0"/>
        </w:rPr>
        <w:t xml:space="preserve">ista. La justificación de </w:t>
      </w:r>
      <w:r w:rsidDel="00000000" w:rsidR="00000000" w:rsidRPr="00000000">
        <w:rPr>
          <w:rFonts w:ascii="Proxima Nova" w:cs="Proxima Nova" w:eastAsia="Proxima Nova" w:hAnsi="Proxima Nova"/>
          <w:rtl w:val="0"/>
        </w:rPr>
        <w:t xml:space="preserve">la </w:t>
      </w:r>
      <w:r w:rsidDel="00000000" w:rsidR="00000000" w:rsidRPr="00000000">
        <w:rPr>
          <w:rFonts w:ascii="Proxima Nova" w:cs="Proxima Nova" w:eastAsia="Proxima Nova" w:hAnsi="Proxima Nova"/>
          <w:color w:val="000000"/>
          <w:sz w:val="22"/>
          <w:szCs w:val="22"/>
          <w:rtl w:val="0"/>
        </w:rPr>
        <w:t xml:space="preserve">elección se basa en los siguientes puntos prácticos del caso:</w:t>
      </w:r>
      <w:r w:rsidDel="00000000" w:rsidR="00000000" w:rsidRPr="00000000">
        <w:rPr>
          <w:rtl w:val="0"/>
        </w:rPr>
      </w:r>
    </w:p>
    <w:p w:rsidR="00000000" w:rsidDel="00000000" w:rsidP="00000000" w:rsidRDefault="00000000" w:rsidRPr="00000000" w14:paraId="00000040">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1. Es una primera operación comercial entre dos empresas radicadas en países muy distantes (Argentina e India), sin historial previo de confianza mutua. Vender a cuenta abierta en este escenario sería imprudente.</w:t>
      </w:r>
      <w:r w:rsidDel="00000000" w:rsidR="00000000" w:rsidRPr="00000000">
        <w:rPr>
          <w:rtl w:val="0"/>
        </w:rPr>
      </w:r>
    </w:p>
    <w:p w:rsidR="00000000" w:rsidDel="00000000" w:rsidP="00000000" w:rsidRDefault="00000000" w:rsidRPr="00000000" w14:paraId="00000041">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2. El monto es representativo (USD 100.000) y se trata de bienes industriales específicos hechos bajo pedido para el sector petroquímico. Si se utilizara una cobranza documentaria y PetroTech rechazara el embarque al llegar a Mumbai, TecnoFlow no podría revender fácilmente esas válvulas en el mercado indio y sufriría una pérdida económica.</w:t>
      </w:r>
      <w:r w:rsidDel="00000000" w:rsidR="00000000" w:rsidRPr="00000000">
        <w:rPr>
          <w:rtl w:val="0"/>
        </w:rPr>
      </w:r>
    </w:p>
    <w:p w:rsidR="00000000" w:rsidDel="00000000" w:rsidP="00000000" w:rsidRDefault="00000000" w:rsidRPr="00000000" w14:paraId="00000042">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3. La confirmación del Banco Santander en Argentina le garantiza a TecnoFlow el cobro seguro en su propia plaza, protegiéndola del riesgo país o trabas cambiarias en destino. Además, tener una carta de crédito confirmada le permite a TecnoFlow acercarse a su banco en Argentina y pedir una línea de prefinanciación de exportaciones para comprar el acero y pagar la mano de obra necesaria para producir las 50 válvulas.</w:t>
      </w:r>
      <w:r w:rsidDel="00000000" w:rsidR="00000000" w:rsidRPr="00000000">
        <w:rPr>
          <w:rtl w:val="0"/>
        </w:rPr>
      </w:r>
    </w:p>
    <w:p w:rsidR="00000000" w:rsidDel="00000000" w:rsidP="00000000" w:rsidRDefault="00000000" w:rsidRPr="00000000" w14:paraId="00000043">
      <w:pPr>
        <w:spacing w:after="100" w:line="276" w:lineRule="auto"/>
        <w:ind w:left="360" w:firstLine="0"/>
        <w:jc w:val="left"/>
        <w:rPr>
          <w:rFonts w:ascii="Proxima Nova" w:cs="Proxima Nova" w:eastAsia="Proxima Nova" w:hAnsi="Proxima Nova"/>
        </w:rPr>
      </w:pPr>
      <w:r w:rsidDel="00000000" w:rsidR="00000000" w:rsidRPr="00000000">
        <w:rPr>
          <w:rFonts w:ascii="Proxima Nova" w:cs="Proxima Nova" w:eastAsia="Proxima Nova" w:hAnsi="Proxima Nova"/>
          <w:color w:val="000000"/>
          <w:sz w:val="22"/>
          <w:szCs w:val="22"/>
          <w:rtl w:val="0"/>
        </w:rPr>
        <w:t xml:space="preserve">4. Para PetroTech Ltd. también resulta conveniente porque sus fondos no se transfieren hasta que el banco verifique que TecnoFlow cumplió estrictamente con las fechas de embarque y presentó los certificados de calidad API 6D requeridos.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AHgFdViC1Bnk5ohUtNOGRp5Hw==">CgMxLjA4AHIhMWExV0YweF84aF9sclJvbGRGczBHTWE5OGdGMXBfcFRi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