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368" w:rsidRDefault="00D73368" w:rsidP="00D73368">
      <w:pPr>
        <w:pStyle w:val="Prrafodelista"/>
        <w:numPr>
          <w:ilvl w:val="0"/>
          <w:numId w:val="5"/>
        </w:numPr>
        <w:spacing w:after="0"/>
        <w:ind w:left="0" w:firstLine="1038"/>
      </w:pPr>
      <w:r w:rsidRPr="00D73368">
        <w:t xml:space="preserve">En una economía descrita por el modelo IS-LM, a partir de una situación de equilibrio, se producen simultáneamente una disminución de la propensión marginal a ahorrar </w:t>
      </w:r>
      <w:r>
        <w:t>(</w:t>
      </w:r>
      <w:proofErr w:type="spellStart"/>
      <w:r>
        <w:t>PMgS</w:t>
      </w:r>
      <w:proofErr w:type="spellEnd"/>
      <w:r>
        <w:t xml:space="preserve">) </w:t>
      </w:r>
      <w:r w:rsidRPr="00D73368">
        <w:t>y una venta de bonos en el mercado abierto por el Banco Central. Analic</w:t>
      </w:r>
      <w:r>
        <w:t>e cada uno de los comentarios considerando</w:t>
      </w:r>
      <w:r w:rsidRPr="00D73368">
        <w:t xml:space="preserve"> la situación de equilibrio final</w:t>
      </w:r>
      <w:r>
        <w:t xml:space="preserve"> e indique si son correctos:</w:t>
      </w:r>
    </w:p>
    <w:p w:rsidR="00D73368" w:rsidRDefault="00D73368" w:rsidP="00D73368">
      <w:pPr>
        <w:pStyle w:val="Prrafodelista"/>
        <w:numPr>
          <w:ilvl w:val="2"/>
          <w:numId w:val="5"/>
        </w:numPr>
        <w:spacing w:after="0"/>
      </w:pPr>
      <w:r w:rsidRPr="00D73368">
        <w:t>Aumenta la ren</w:t>
      </w:r>
      <w:r>
        <w:t>ta y disminuye la inversión.</w:t>
      </w:r>
    </w:p>
    <w:p w:rsidR="00D73368" w:rsidRDefault="00D73368" w:rsidP="00D73368">
      <w:pPr>
        <w:pStyle w:val="Prrafodelista"/>
        <w:numPr>
          <w:ilvl w:val="2"/>
          <w:numId w:val="5"/>
        </w:numPr>
        <w:spacing w:after="0"/>
      </w:pPr>
      <w:r w:rsidRPr="00D73368">
        <w:t>Aumenta la inversión, pero la variación de l</w:t>
      </w:r>
      <w:r>
        <w:t>a renta queda indeterminada.</w:t>
      </w:r>
    </w:p>
    <w:p w:rsidR="00D73368" w:rsidRDefault="00D73368" w:rsidP="004525A9">
      <w:pPr>
        <w:pStyle w:val="Prrafodelista"/>
        <w:numPr>
          <w:ilvl w:val="2"/>
          <w:numId w:val="5"/>
        </w:numPr>
        <w:spacing w:after="0"/>
      </w:pPr>
      <w:r w:rsidRPr="00D73368">
        <w:t>Aumentan el ahorro y la tasa de interés, descendiendo la inversión</w:t>
      </w:r>
      <w:r w:rsidR="004525A9">
        <w:t>…………………………………10 PUNTOS</w:t>
      </w:r>
      <w:r w:rsidRPr="00D73368">
        <w:t xml:space="preserve">                                                                     </w:t>
      </w:r>
      <w:r>
        <w:t xml:space="preserve">                      </w:t>
      </w:r>
    </w:p>
    <w:p w:rsidR="00D73368" w:rsidRDefault="00D73368" w:rsidP="00D73368">
      <w:pPr>
        <w:pStyle w:val="Prrafodelista"/>
        <w:numPr>
          <w:ilvl w:val="0"/>
          <w:numId w:val="5"/>
        </w:numPr>
        <w:spacing w:after="0"/>
        <w:ind w:left="0" w:firstLine="1038"/>
      </w:pPr>
      <w:r>
        <w:t>S</w:t>
      </w:r>
      <w:r w:rsidRPr="00D73368">
        <w:t>uponga que el gobierno de un país des</w:t>
      </w:r>
      <w:r>
        <w:t>ea reducir su déficit público. Analice cada una de las propuestas e indique c</w:t>
      </w:r>
      <w:r w:rsidRPr="00D73368">
        <w:t xml:space="preserve">uál sería la combinación de políticas económicas adecuadas si el gobierno está preocupado por </w:t>
      </w:r>
      <w:r>
        <w:t xml:space="preserve">sostener </w:t>
      </w:r>
      <w:r w:rsidRPr="00D73368">
        <w:t>el</w:t>
      </w:r>
      <w:r w:rsidR="003D45F7">
        <w:t xml:space="preserve"> consumo en el nuevo equilibrio.</w:t>
      </w:r>
      <w:bookmarkStart w:id="0" w:name="_GoBack"/>
      <w:bookmarkEnd w:id="0"/>
    </w:p>
    <w:p w:rsidR="00D73368" w:rsidRDefault="00D73368" w:rsidP="00D73368">
      <w:pPr>
        <w:pStyle w:val="Prrafodelista"/>
        <w:numPr>
          <w:ilvl w:val="2"/>
          <w:numId w:val="5"/>
        </w:numPr>
        <w:spacing w:after="0"/>
      </w:pPr>
      <w:r w:rsidRPr="00D73368">
        <w:t>Una disminución en impuestos junto con un aumento de la oferta monetaria.</w:t>
      </w:r>
    </w:p>
    <w:p w:rsidR="00D73368" w:rsidRDefault="00D73368" w:rsidP="00D73368">
      <w:pPr>
        <w:pStyle w:val="Prrafodelista"/>
        <w:numPr>
          <w:ilvl w:val="2"/>
          <w:numId w:val="5"/>
        </w:numPr>
        <w:spacing w:after="0"/>
      </w:pPr>
      <w:r w:rsidRPr="00D73368">
        <w:t>Un incremento en impuestos junto con un aumento de la oferta monetaria.</w:t>
      </w:r>
    </w:p>
    <w:p w:rsidR="00D73368" w:rsidRDefault="00D73368" w:rsidP="00D73368">
      <w:pPr>
        <w:pStyle w:val="Prrafodelista"/>
        <w:numPr>
          <w:ilvl w:val="2"/>
          <w:numId w:val="5"/>
        </w:numPr>
        <w:spacing w:after="0"/>
      </w:pPr>
      <w:r w:rsidRPr="00D73368">
        <w:t>Un incremento en impuestos junto con una reducción de la oferta monetaria.</w:t>
      </w:r>
    </w:p>
    <w:p w:rsidR="00D73368" w:rsidRDefault="00D73368" w:rsidP="00D73368">
      <w:pPr>
        <w:pStyle w:val="Prrafodelista"/>
        <w:numPr>
          <w:ilvl w:val="2"/>
          <w:numId w:val="5"/>
        </w:numPr>
        <w:spacing w:after="0"/>
      </w:pPr>
      <w:r w:rsidRPr="00D73368">
        <w:t>Una disminución del gasto público junto con un a</w:t>
      </w:r>
      <w:r w:rsidR="004525A9">
        <w:t>umento de la oferta monetaria…………….10 PUNTOS</w:t>
      </w:r>
      <w:r w:rsidRPr="00D73368">
        <w:t xml:space="preserve">   </w:t>
      </w:r>
    </w:p>
    <w:p w:rsidR="00D73368" w:rsidRDefault="00D73368" w:rsidP="00D73368">
      <w:pPr>
        <w:pStyle w:val="Prrafodelista"/>
        <w:numPr>
          <w:ilvl w:val="0"/>
          <w:numId w:val="5"/>
        </w:numPr>
        <w:spacing w:after="0"/>
        <w:ind w:left="0" w:firstLine="1038"/>
      </w:pPr>
      <w:r w:rsidRPr="00D73368">
        <w:t>Identifique las variables económicas exógenas observadas en el comentario siguiente, indique como afectan a cada mercado, finalmente pronostique la trayectoria de la tasa de interés (i),  de la renta (Y) y cada una de las variables macroeconómicas involucradas en caso de haberse implementado la propuesta y suponiendo que se parte de un punto de equilibrio simultáneo tanto para el mercado de bienes y servicios como para el mercado monetario utilizando argumentos del mode</w:t>
      </w:r>
      <w:r w:rsidR="0048751C">
        <w:t>lo de síntesis (IS – LM).</w:t>
      </w:r>
    </w:p>
    <w:p w:rsidR="0048751C" w:rsidRDefault="0048751C" w:rsidP="0048751C">
      <w:pPr>
        <w:spacing w:after="0"/>
      </w:pPr>
      <w:r>
        <w:t>Suponga que:</w:t>
      </w:r>
    </w:p>
    <w:tbl>
      <w:tblPr>
        <w:tblW w:w="10485" w:type="dxa"/>
        <w:tblCellMar>
          <w:left w:w="70" w:type="dxa"/>
          <w:right w:w="70" w:type="dxa"/>
        </w:tblCellMar>
        <w:tblLook w:val="04A0" w:firstRow="1" w:lastRow="0" w:firstColumn="1" w:lastColumn="0" w:noHBand="0" w:noVBand="1"/>
      </w:tblPr>
      <w:tblGrid>
        <w:gridCol w:w="3880"/>
        <w:gridCol w:w="6605"/>
      </w:tblGrid>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tcPr>
          <w:p w:rsidR="004525A9" w:rsidRPr="0048751C" w:rsidRDefault="004525A9" w:rsidP="0048751C">
            <w:pPr>
              <w:spacing w:after="0" w:line="240" w:lineRule="auto"/>
              <w:jc w:val="both"/>
              <w:rPr>
                <w:rFonts w:ascii="Calibri" w:eastAsia="Times New Roman" w:hAnsi="Calibri" w:cs="Calibri"/>
                <w:color w:val="000000"/>
                <w:lang w:eastAsia="es-MX"/>
              </w:rPr>
            </w:pPr>
            <w:r>
              <w:rPr>
                <w:rFonts w:ascii="Calibri" w:eastAsia="Times New Roman" w:hAnsi="Calibri" w:cs="Calibri"/>
                <w:color w:val="000000"/>
                <w:lang w:eastAsia="es-MX"/>
              </w:rPr>
              <w:t>VARIABLES</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r>
              <w:rPr>
                <w:rFonts w:ascii="Calibri" w:eastAsia="Times New Roman" w:hAnsi="Calibri" w:cs="Calibri"/>
                <w:color w:val="000000"/>
                <w:lang w:eastAsia="es-MX"/>
              </w:rPr>
              <w:t>INDIQUE SI AUMENTA  O SE REDUCE</w:t>
            </w: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C = Co + PmgC*(Y-T)</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I = Io – b*i</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GP = GPo</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X = Xo + x * TCR</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M=Mo - q * TCR + PmgM*Y</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xml:space="preserve">·         T = Txo – Tro + PmgT*Y     </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Ms = M = OM/NP</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r w:rsidR="004525A9" w:rsidRPr="0048751C" w:rsidTr="004525A9">
        <w:trPr>
          <w:trHeight w:val="300"/>
        </w:trPr>
        <w:tc>
          <w:tcPr>
            <w:tcW w:w="3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25A9" w:rsidRPr="0048751C" w:rsidRDefault="004525A9" w:rsidP="0048751C">
            <w:pPr>
              <w:spacing w:after="0" w:line="240" w:lineRule="auto"/>
              <w:jc w:val="both"/>
              <w:rPr>
                <w:rFonts w:ascii="Calibri" w:eastAsia="Times New Roman" w:hAnsi="Calibri" w:cs="Calibri"/>
                <w:color w:val="000000"/>
                <w:lang w:eastAsia="es-MX"/>
              </w:rPr>
            </w:pPr>
            <w:r w:rsidRPr="0048751C">
              <w:rPr>
                <w:rFonts w:ascii="Calibri" w:eastAsia="Times New Roman" w:hAnsi="Calibri" w:cs="Calibri"/>
                <w:color w:val="000000"/>
                <w:lang w:eastAsia="es-MX"/>
              </w:rPr>
              <w:t>·         Md = L = k * Y + L</w:t>
            </w:r>
            <w:r w:rsidRPr="0048751C">
              <w:rPr>
                <w:rFonts w:ascii="Calibri" w:eastAsia="Times New Roman" w:hAnsi="Calibri" w:cs="Calibri"/>
                <w:color w:val="000000"/>
                <w:vertAlign w:val="subscript"/>
                <w:lang w:eastAsia="es-MX"/>
              </w:rPr>
              <w:t xml:space="preserve">0 </w:t>
            </w:r>
            <w:r w:rsidRPr="0048751C">
              <w:rPr>
                <w:rFonts w:ascii="Calibri" w:eastAsia="Times New Roman" w:hAnsi="Calibri" w:cs="Calibri"/>
                <w:color w:val="000000"/>
                <w:lang w:eastAsia="es-MX"/>
              </w:rPr>
              <w:t xml:space="preserve">- h * i    </w:t>
            </w:r>
          </w:p>
        </w:tc>
        <w:tc>
          <w:tcPr>
            <w:tcW w:w="6605" w:type="dxa"/>
            <w:tcBorders>
              <w:top w:val="single" w:sz="4" w:space="0" w:color="auto"/>
              <w:left w:val="single" w:sz="4" w:space="0" w:color="auto"/>
              <w:bottom w:val="single" w:sz="4" w:space="0" w:color="auto"/>
              <w:right w:val="single" w:sz="4" w:space="0" w:color="auto"/>
            </w:tcBorders>
          </w:tcPr>
          <w:p w:rsidR="004525A9" w:rsidRPr="0048751C" w:rsidRDefault="004525A9" w:rsidP="0048751C">
            <w:pPr>
              <w:spacing w:after="0" w:line="240" w:lineRule="auto"/>
              <w:jc w:val="both"/>
              <w:rPr>
                <w:rFonts w:ascii="Calibri" w:eastAsia="Times New Roman" w:hAnsi="Calibri" w:cs="Calibri"/>
                <w:color w:val="000000"/>
                <w:lang w:eastAsia="es-MX"/>
              </w:rPr>
            </w:pPr>
          </w:p>
        </w:tc>
      </w:tr>
    </w:tbl>
    <w:p w:rsidR="004525A9" w:rsidRPr="00DF2A19" w:rsidRDefault="00DF2A19" w:rsidP="00DF2A19">
      <w:pPr>
        <w:pStyle w:val="NormalWeb"/>
        <w:spacing w:before="0" w:beforeAutospacing="0" w:after="0" w:afterAutospacing="0"/>
        <w:rPr>
          <w:rFonts w:asciiTheme="minorHAnsi" w:hAnsiTheme="minorHAnsi" w:cstheme="minorHAnsi"/>
          <w:i/>
          <w:color w:val="000000"/>
          <w:sz w:val="20"/>
          <w:szCs w:val="20"/>
          <w:u w:val="single"/>
        </w:rPr>
      </w:pPr>
      <w:r w:rsidRPr="00DF2A19">
        <w:rPr>
          <w:rFonts w:asciiTheme="minorHAnsi" w:hAnsiTheme="minorHAnsi" w:cstheme="minorHAnsi"/>
          <w:b/>
          <w:color w:val="000000"/>
          <w:sz w:val="20"/>
          <w:szCs w:val="20"/>
        </w:rPr>
        <w:t>En el marco de la 8° Asamblea de Gobernadores del Norte Grande Argentino, autoridades del Gobierno Nacional analizaron esta mañana con los mandatarios de las diez provincias una serie de medidas que impulsa el Ejecutivo Nacional para optimizar el sistema energético en la región.</w:t>
      </w:r>
      <w:r w:rsidRPr="00DF2A19">
        <w:rPr>
          <w:rFonts w:asciiTheme="minorHAnsi" w:hAnsiTheme="minorHAnsi" w:cstheme="minorHAnsi"/>
          <w:i/>
          <w:color w:val="000000"/>
          <w:sz w:val="20"/>
          <w:szCs w:val="20"/>
        </w:rPr>
        <w:t xml:space="preserve">                                      </w:t>
      </w:r>
      <w:r>
        <w:rPr>
          <w:rFonts w:asciiTheme="minorHAnsi" w:hAnsiTheme="minorHAnsi" w:cstheme="minorHAnsi"/>
          <w:i/>
          <w:color w:val="000000"/>
          <w:sz w:val="20"/>
          <w:szCs w:val="20"/>
        </w:rPr>
        <w:t xml:space="preserve">                                                                                                                                </w:t>
      </w:r>
      <w:r w:rsidRPr="00DF2A19">
        <w:rPr>
          <w:rFonts w:asciiTheme="minorHAnsi" w:hAnsiTheme="minorHAnsi" w:cstheme="minorHAnsi"/>
          <w:i/>
          <w:color w:val="000000"/>
          <w:sz w:val="20"/>
          <w:szCs w:val="20"/>
        </w:rPr>
        <w:t xml:space="preserve">  </w:t>
      </w:r>
      <w:r w:rsidR="004525A9" w:rsidRPr="00DF2A19">
        <w:rPr>
          <w:rFonts w:asciiTheme="minorHAnsi" w:hAnsiTheme="minorHAnsi" w:cstheme="minorHAnsi"/>
          <w:i/>
          <w:color w:val="000000"/>
          <w:sz w:val="20"/>
          <w:szCs w:val="20"/>
        </w:rPr>
        <w:t xml:space="preserve">“Desde la Administración Nacional, se están reactivando las obras que estuvieron paralizadas desde 2015 y, paralelamente, se está avanzando en la concreción de nuevos proyectos de ampliación. Sin embargo, por la magnitud de las obras necesarias para la ampliación del sistema de transporte, sus frutos tendrán lugar en el mediano y largo plazo. Para sortear esta limitación, se avanza en múltiples iniciativas para permitir la incorporación de nueva potencia. El impulso a Mercados Eléctricos Renovables Regionales busca que la energía eléctrica de fuentes renovables se consuma en la misma área donde se genera. De esta forma, se aprovechan las capacidades existentes en las redes de media y baja tensión que permitirá el reemplazo de generación existente (generación forzada diésel, por ejemplo) y la incorporación de nueva generación en zonas que ven limitado su suministro en materia de continuidad, calidad y seguridad (energía deficiente, no fiable). Según detalló el Gobierno, existe un gran potencial para estas medidas en el NEA, NOA, Litoral y algunas zonas de la provincia de Buenos Aires, donde no sólo hay generación costosa susceptible a ser reemplazada sino que se identifican recursos renovables disponibles para ser volcados al sector </w:t>
      </w:r>
      <w:proofErr w:type="gramStart"/>
      <w:r w:rsidR="004525A9" w:rsidRPr="00DF2A19">
        <w:rPr>
          <w:rFonts w:asciiTheme="minorHAnsi" w:hAnsiTheme="minorHAnsi" w:cstheme="minorHAnsi"/>
          <w:i/>
          <w:color w:val="000000"/>
          <w:sz w:val="20"/>
          <w:szCs w:val="20"/>
        </w:rPr>
        <w:t>energético(</w:t>
      </w:r>
      <w:proofErr w:type="gramEnd"/>
      <w:r w:rsidR="004525A9" w:rsidRPr="00DF2A19">
        <w:rPr>
          <w:rFonts w:asciiTheme="minorHAnsi" w:hAnsiTheme="minorHAnsi" w:cstheme="minorHAnsi"/>
          <w:i/>
          <w:color w:val="000000"/>
          <w:sz w:val="20"/>
          <w:szCs w:val="20"/>
        </w:rPr>
        <w:t>particularmente de la biomasa y otras bioenergías).”</w:t>
      </w:r>
      <w:r w:rsidR="004525A9" w:rsidRPr="00DF2A19">
        <w:rPr>
          <w:rFonts w:asciiTheme="minorHAnsi" w:hAnsiTheme="minorHAnsi" w:cstheme="minorHAnsi"/>
          <w:sz w:val="20"/>
          <w:szCs w:val="20"/>
        </w:rPr>
        <w:t xml:space="preserve"> </w:t>
      </w:r>
      <w:r w:rsidR="004525A9" w:rsidRPr="00DF2A19">
        <w:rPr>
          <w:rFonts w:asciiTheme="minorHAnsi" w:hAnsiTheme="minorHAnsi" w:cstheme="minorHAnsi"/>
          <w:sz w:val="20"/>
          <w:szCs w:val="20"/>
          <w:u w:val="single"/>
        </w:rPr>
        <w:t xml:space="preserve">11/02/2022 </w:t>
      </w:r>
      <w:hyperlink r:id="rId8" w:history="1">
        <w:r w:rsidRPr="00DF2A19">
          <w:rPr>
            <w:rStyle w:val="Hipervnculo"/>
            <w:rFonts w:asciiTheme="minorHAnsi" w:hAnsiTheme="minorHAnsi" w:cstheme="minorHAnsi"/>
            <w:i/>
            <w:sz w:val="20"/>
            <w:szCs w:val="20"/>
          </w:rPr>
          <w:t>https://eleconomista.com.ar/politica/el-gobierno-nacional-analizo-gobernadores-norte-grande-subsidios-energia-transporte-n50514</w:t>
        </w:r>
      </w:hyperlink>
      <w:r w:rsidR="004525A9" w:rsidRPr="00DF2A19">
        <w:rPr>
          <w:rFonts w:asciiTheme="minorHAnsi" w:hAnsiTheme="minorHAnsi" w:cstheme="minorHAnsi"/>
          <w:sz w:val="20"/>
          <w:szCs w:val="20"/>
        </w:rPr>
        <w:t>………</w:t>
      </w:r>
      <w:r w:rsidRPr="00DF2A19">
        <w:rPr>
          <w:rFonts w:asciiTheme="minorHAnsi" w:hAnsiTheme="minorHAnsi" w:cstheme="minorHAnsi"/>
          <w:sz w:val="20"/>
          <w:szCs w:val="20"/>
        </w:rPr>
        <w:t>.......................................</w:t>
      </w:r>
      <w:r>
        <w:rPr>
          <w:rFonts w:asciiTheme="minorHAnsi" w:hAnsiTheme="minorHAnsi" w:cstheme="minorHAnsi"/>
          <w:sz w:val="20"/>
          <w:szCs w:val="20"/>
        </w:rPr>
        <w:t>.......</w:t>
      </w:r>
      <w:r w:rsidR="004525A9" w:rsidRPr="00DF2A19">
        <w:rPr>
          <w:rFonts w:asciiTheme="minorHAnsi" w:hAnsiTheme="minorHAnsi" w:cstheme="minorHAnsi"/>
          <w:sz w:val="20"/>
          <w:szCs w:val="20"/>
        </w:rPr>
        <w:t>…………</w:t>
      </w:r>
      <w:r>
        <w:rPr>
          <w:rFonts w:asciiTheme="minorHAnsi" w:hAnsiTheme="minorHAnsi" w:cstheme="minorHAnsi"/>
          <w:sz w:val="20"/>
          <w:szCs w:val="20"/>
        </w:rPr>
        <w:t>..</w:t>
      </w:r>
      <w:r w:rsidR="004525A9" w:rsidRPr="00DF2A19">
        <w:rPr>
          <w:rFonts w:asciiTheme="minorHAnsi" w:hAnsiTheme="minorHAnsi" w:cstheme="minorHAnsi"/>
          <w:sz w:val="20"/>
          <w:szCs w:val="20"/>
        </w:rPr>
        <w:t>………………………………………………………………………………..20 PUNTOS</w:t>
      </w:r>
    </w:p>
    <w:sectPr w:rsidR="004525A9" w:rsidRPr="00DF2A19" w:rsidSect="00DF2A19">
      <w:headerReference w:type="default" r:id="rId9"/>
      <w:pgSz w:w="12240" w:h="15840"/>
      <w:pgMar w:top="720" w:right="720" w:bottom="720" w:left="720" w:header="708"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2F34" w:rsidRDefault="00DE2F34" w:rsidP="006B2F4E">
      <w:pPr>
        <w:spacing w:after="0" w:line="240" w:lineRule="auto"/>
      </w:pPr>
      <w:r>
        <w:separator/>
      </w:r>
    </w:p>
  </w:endnote>
  <w:endnote w:type="continuationSeparator" w:id="0">
    <w:p w:rsidR="00DE2F34" w:rsidRDefault="00DE2F34" w:rsidP="006B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2F34" w:rsidRDefault="00DE2F34" w:rsidP="006B2F4E">
      <w:pPr>
        <w:spacing w:after="0" w:line="240" w:lineRule="auto"/>
      </w:pPr>
      <w:r>
        <w:separator/>
      </w:r>
    </w:p>
  </w:footnote>
  <w:footnote w:type="continuationSeparator" w:id="0">
    <w:p w:rsidR="00DE2F34" w:rsidRDefault="00DE2F34" w:rsidP="006B2F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4E" w:rsidRDefault="006B2F4E" w:rsidP="006B2F4E">
    <w:pPr>
      <w:pStyle w:val="Encabezado"/>
      <w:jc w:val="center"/>
      <w:rPr>
        <w:b/>
      </w:rPr>
    </w:pPr>
    <w:r w:rsidRPr="006B2F4E">
      <w:rPr>
        <w:b/>
        <w:noProof/>
        <w:lang w:eastAsia="es-MX"/>
      </w:rPr>
      <w:drawing>
        <wp:inline distT="0" distB="0" distL="0" distR="0">
          <wp:extent cx="1143000" cy="642937"/>
          <wp:effectExtent l="0" t="0" r="0" b="5080"/>
          <wp:docPr id="1" name="Imagen 1" descr="C:\Users\Usuario\Pictures\Logos-UTN.BA-cs6-fondo-blan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Pictures\Logos-UTN.BA-cs6-fondo-blanc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2227" cy="659377"/>
                  </a:xfrm>
                  <a:prstGeom prst="rect">
                    <a:avLst/>
                  </a:prstGeom>
                  <a:noFill/>
                  <a:ln>
                    <a:noFill/>
                  </a:ln>
                </pic:spPr>
              </pic:pic>
            </a:graphicData>
          </a:graphic>
        </wp:inline>
      </w:drawing>
    </w:r>
  </w:p>
  <w:p w:rsidR="006B2F4E" w:rsidRPr="006B2F4E" w:rsidRDefault="006B2F4E" w:rsidP="006B2F4E">
    <w:pPr>
      <w:pStyle w:val="Encabezado"/>
      <w:jc w:val="center"/>
      <w:rPr>
        <w:b/>
      </w:rPr>
    </w:pPr>
    <w:r>
      <w:rPr>
        <w:b/>
      </w:rPr>
      <w:t xml:space="preserve">         </w:t>
    </w:r>
    <w:r w:rsidR="00E83DA6">
      <w:rPr>
        <w:b/>
      </w:rPr>
      <w:t xml:space="preserve">           EXAMEN FINAL ECONOMÍA</w:t>
    </w:r>
    <w:r w:rsidR="00A16E0E">
      <w:rPr>
        <w:b/>
      </w:rPr>
      <w:t xml:space="preserve"> GENERAL 952557</w:t>
    </w:r>
    <w:r w:rsidR="00E83DA6">
      <w:rPr>
        <w:b/>
      </w:rPr>
      <w:t xml:space="preserve"> – MODALIDAD VIRTUAL TIPO TAREA</w:t>
    </w:r>
    <w:r>
      <w:rPr>
        <w:b/>
      </w:rPr>
      <w:tab/>
    </w:r>
    <w:r>
      <w:rPr>
        <w:b/>
      </w:rPr>
      <w:tab/>
    </w:r>
    <w:r>
      <w:rPr>
        <w:b/>
      </w:rPr>
      <w:tab/>
    </w:r>
    <w:r w:rsidR="00A16E0E">
      <w:rPr>
        <w:b/>
      </w:rPr>
      <w:t xml:space="preserve">15/02/2022 </w:t>
    </w:r>
    <w:r w:rsidR="00D73368">
      <w:rPr>
        <w:b/>
      </w:rPr>
      <w:t>POLÍTICAS ECONÓMICAS - 4</w:t>
    </w:r>
    <w:r w:rsidR="00A16E0E">
      <w:rPr>
        <w:b/>
      </w:rPr>
      <w:t>0</w:t>
    </w:r>
    <w:r>
      <w:rPr>
        <w:b/>
      </w:rPr>
      <w:t>/100 PUNTOS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F836F2"/>
    <w:multiLevelType w:val="hybridMultilevel"/>
    <w:tmpl w:val="37DA1A12"/>
    <w:lvl w:ilvl="0" w:tplc="74904B38">
      <w:start w:val="1"/>
      <w:numFmt w:val="decimal"/>
      <w:lvlText w:val="%1."/>
      <w:lvlJc w:val="left"/>
      <w:pPr>
        <w:ind w:left="360" w:hanging="360"/>
      </w:pPr>
      <w:rPr>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4FB47AA"/>
    <w:multiLevelType w:val="hybridMultilevel"/>
    <w:tmpl w:val="338499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5C224FA"/>
    <w:multiLevelType w:val="hybridMultilevel"/>
    <w:tmpl w:val="6AFCB0C4"/>
    <w:lvl w:ilvl="0" w:tplc="080A000F">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4E54419C"/>
    <w:multiLevelType w:val="hybridMultilevel"/>
    <w:tmpl w:val="9F7AA6EE"/>
    <w:lvl w:ilvl="0" w:tplc="82649894">
      <w:start w:val="1"/>
      <w:numFmt w:val="upperLetter"/>
      <w:lvlText w:val="%1."/>
      <w:lvlJc w:val="left"/>
      <w:pPr>
        <w:ind w:left="1395" w:hanging="103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B66313C"/>
    <w:multiLevelType w:val="hybridMultilevel"/>
    <w:tmpl w:val="1A28E774"/>
    <w:lvl w:ilvl="0" w:tplc="F0A8EEAC">
      <w:start w:val="1"/>
      <w:numFmt w:val="upperLetter"/>
      <w:lvlText w:val="%1."/>
      <w:lvlJc w:val="left"/>
      <w:pPr>
        <w:ind w:left="1035" w:hanging="1035"/>
      </w:pPr>
      <w:rPr>
        <w:rFonts w:hint="default"/>
        <w:b/>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71367DF1"/>
    <w:multiLevelType w:val="hybridMultilevel"/>
    <w:tmpl w:val="CC743460"/>
    <w:lvl w:ilvl="0" w:tplc="82649894">
      <w:start w:val="1"/>
      <w:numFmt w:val="upperLetter"/>
      <w:lvlText w:val="%1."/>
      <w:lvlJc w:val="left"/>
      <w:pPr>
        <w:ind w:left="1395" w:hanging="103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F4E"/>
    <w:rsid w:val="002F5E75"/>
    <w:rsid w:val="0037008B"/>
    <w:rsid w:val="003D45F7"/>
    <w:rsid w:val="004525A9"/>
    <w:rsid w:val="004557FC"/>
    <w:rsid w:val="0048751C"/>
    <w:rsid w:val="004C6E89"/>
    <w:rsid w:val="0053502C"/>
    <w:rsid w:val="0058365F"/>
    <w:rsid w:val="006B2F4E"/>
    <w:rsid w:val="007F3C1E"/>
    <w:rsid w:val="009D7821"/>
    <w:rsid w:val="00A16E0E"/>
    <w:rsid w:val="00AC123E"/>
    <w:rsid w:val="00C117F3"/>
    <w:rsid w:val="00D73368"/>
    <w:rsid w:val="00DE2F34"/>
    <w:rsid w:val="00DF2A19"/>
    <w:rsid w:val="00E83D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7E400C-2F83-43B0-BEE3-6C586834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2F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2F4E"/>
  </w:style>
  <w:style w:type="paragraph" w:styleId="Piedepgina">
    <w:name w:val="footer"/>
    <w:basedOn w:val="Normal"/>
    <w:link w:val="PiedepginaCar"/>
    <w:uiPriority w:val="99"/>
    <w:unhideWhenUsed/>
    <w:rsid w:val="006B2F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2F4E"/>
  </w:style>
  <w:style w:type="paragraph" w:styleId="Prrafodelista">
    <w:name w:val="List Paragraph"/>
    <w:basedOn w:val="Normal"/>
    <w:uiPriority w:val="34"/>
    <w:qFormat/>
    <w:rsid w:val="0037008B"/>
    <w:pPr>
      <w:ind w:left="720"/>
      <w:contextualSpacing/>
    </w:pPr>
  </w:style>
  <w:style w:type="paragraph" w:styleId="NormalWeb">
    <w:name w:val="Normal (Web)"/>
    <w:basedOn w:val="Normal"/>
    <w:uiPriority w:val="99"/>
    <w:unhideWhenUsed/>
    <w:rsid w:val="004525A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DF2A1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671557">
      <w:bodyDiv w:val="1"/>
      <w:marLeft w:val="0"/>
      <w:marRight w:val="0"/>
      <w:marTop w:val="0"/>
      <w:marBottom w:val="0"/>
      <w:divBdr>
        <w:top w:val="none" w:sz="0" w:space="0" w:color="auto"/>
        <w:left w:val="none" w:sz="0" w:space="0" w:color="auto"/>
        <w:bottom w:val="none" w:sz="0" w:space="0" w:color="auto"/>
        <w:right w:val="none" w:sz="0" w:space="0" w:color="auto"/>
      </w:divBdr>
    </w:div>
    <w:div w:id="648173668">
      <w:bodyDiv w:val="1"/>
      <w:marLeft w:val="0"/>
      <w:marRight w:val="0"/>
      <w:marTop w:val="0"/>
      <w:marBottom w:val="0"/>
      <w:divBdr>
        <w:top w:val="none" w:sz="0" w:space="0" w:color="auto"/>
        <w:left w:val="none" w:sz="0" w:space="0" w:color="auto"/>
        <w:bottom w:val="none" w:sz="0" w:space="0" w:color="auto"/>
        <w:right w:val="none" w:sz="0" w:space="0" w:color="auto"/>
      </w:divBdr>
    </w:div>
    <w:div w:id="934289899">
      <w:bodyDiv w:val="1"/>
      <w:marLeft w:val="0"/>
      <w:marRight w:val="0"/>
      <w:marTop w:val="0"/>
      <w:marBottom w:val="0"/>
      <w:divBdr>
        <w:top w:val="none" w:sz="0" w:space="0" w:color="auto"/>
        <w:left w:val="none" w:sz="0" w:space="0" w:color="auto"/>
        <w:bottom w:val="none" w:sz="0" w:space="0" w:color="auto"/>
        <w:right w:val="none" w:sz="0" w:space="0" w:color="auto"/>
      </w:divBdr>
    </w:div>
    <w:div w:id="183075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conomista.com.ar/politica/el-gobierno-nacional-analizo-gobernadores-norte-grande-subsidios-energia-transporte-n5051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04B5C-21F1-41D3-842C-F4C518C6B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641</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Garay</dc:creator>
  <cp:keywords/>
  <dc:description/>
  <cp:lastModifiedBy>Ruben Garay</cp:lastModifiedBy>
  <cp:revision>10</cp:revision>
  <dcterms:created xsi:type="dcterms:W3CDTF">2022-02-10T21:49:00Z</dcterms:created>
  <dcterms:modified xsi:type="dcterms:W3CDTF">2022-02-11T20:51:00Z</dcterms:modified>
</cp:coreProperties>
</file>