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03366"/>
          <w:sz w:val="32"/>
        </w:rPr>
        <w:t>UNIVERSIDAD TECNOLÓGICA NACIONAL</w:t>
      </w:r>
    </w:p>
    <w:p>
      <w:pPr>
        <w:spacing w:after="40"/>
        <w:jc w:val="center"/>
      </w:pPr>
      <w:r>
        <w:rPr>
          <w:rFonts w:ascii="Arial" w:hAnsi="Arial"/>
          <w:b/>
          <w:color w:val="464646"/>
          <w:sz w:val="26"/>
        </w:rPr>
        <w:t>FACULTAD REGIONAL BUENOS AIRES</w:t>
      </w:r>
    </w:p>
    <w:p>
      <w:pPr>
        <w:spacing w:after="440"/>
        <w:jc w:val="center"/>
      </w:pPr>
      <w:r>
        <w:rPr>
          <w:rFonts w:ascii="Calibri" w:hAnsi="Calibri"/>
          <w:color w:val="646464"/>
          <w:sz w:val="22"/>
        </w:rPr>
        <w:t>DEPARTAMENTO DE INGENIERÍA INDUSTRIAL</w:t>
        <w:br/>
        <w:t>CÁTEDRA DE COMERCIO EXTERIOR — CURSO I-5053</w:t>
      </w:r>
    </w:p>
    <w:tbl>
      <w:tblPr>
        <w:tblW w:type="auto" w:w="0"/>
        <w:jc w:val="center"/>
        <w:tblLook w:firstColumn="1" w:firstRow="1" w:lastColumn="0" w:lastRow="0" w:noHBand="0" w:noVBand="1" w:val="04A0"/>
      </w:tblPr>
      <w:tblGrid>
        <w:gridCol w:w="9792"/>
      </w:tblGrid>
      <w:tr>
        <w:tc>
          <w:tcPr>
            <w:tcW w:type="dxa" w:w="9504"/>
            <w:shd w:fill="003366"/>
            <w:tcMar>
              <w:top w:w="20" w:type="dxa"/>
              <w:bottom w:w="20" w:type="dxa"/>
              <w:left w:w="0" w:type="dxa"/>
              <w:right w:w="0" w:type="dxa"/>
            </w:tcMar>
          </w:tcPr>
          <w:p>
            <w:pPr>
              <w:spacing w:before="0" w:after="0"/>
            </w:pPr>
            <w:r>
              <w:rPr>
                <w:sz w:val="4"/>
              </w:rPr>
            </w:r>
          </w:p>
        </w:tc>
      </w:tr>
    </w:tbl>
    <w:p>
      <w:pPr>
        <w:spacing w:before="480" w:after="120"/>
        <w:jc w:val="center"/>
      </w:pPr>
      <w:r>
        <w:rPr>
          <w:rFonts w:ascii="Arial" w:hAnsi="Arial"/>
          <w:b/>
          <w:color w:val="963232"/>
          <w:sz w:val="24"/>
        </w:rPr>
        <w:t>ACTIVIDAD PRÁCTICA DE APLICACIÓN</w:t>
      </w:r>
    </w:p>
    <w:p>
      <w:pPr>
        <w:spacing w:after="160"/>
        <w:jc w:val="center"/>
      </w:pPr>
      <w:r>
        <w:rPr>
          <w:rFonts w:ascii="Arial" w:hAnsi="Arial"/>
          <w:b/>
          <w:color w:val="003366"/>
          <w:sz w:val="40"/>
        </w:rPr>
        <w:t>CONTRATO DE COMPRAVENTA INTERNACIONAL</w:t>
      </w:r>
    </w:p>
    <w:p>
      <w:pPr>
        <w:spacing w:after="520"/>
        <w:jc w:val="center"/>
      </w:pPr>
      <w:r>
        <w:rPr>
          <w:rFonts w:ascii="Calibri" w:hAnsi="Calibri"/>
          <w:i/>
          <w:color w:val="505050"/>
          <w:sz w:val="24"/>
        </w:rPr>
        <w:t>Operación de Exportación Definitiva para Consumo:</w:t>
        <w:br/>
        <w:t>Extintores Portátiles Presurizados de Agua hacia el Reino de Marruecos</w:t>
        <w:br/>
        <w:t>(En articulación directa con el Trabajo Práctico Anual Grupal)</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896"/>
        <w:gridCol w:w="4896"/>
      </w:tblGrid>
      <w:tr>
        <w:tc>
          <w:tcPr>
            <w:tcW w:type="dxa" w:w="3312"/>
            <w:shd w:fill="F0F4F8"/>
            <w:tcMar>
              <w:top w:w="100" w:type="dxa"/>
              <w:bottom w:w="100" w:type="dxa"/>
              <w:left w:w="140" w:type="dxa"/>
              <w:right w:w="140" w:type="dxa"/>
            </w:tcMar>
          </w:tcPr>
          <w:p>
            <w:pPr>
              <w:spacing w:before="0" w:after="0"/>
            </w:pPr>
            <w:r>
              <w:rPr>
                <w:b/>
                <w:color w:val="003366"/>
                <w:sz w:val="20"/>
              </w:rPr>
              <w:t>Integrantes del Grupo:</w:t>
            </w:r>
          </w:p>
        </w:tc>
        <w:tc>
          <w:tcPr>
            <w:tcW w:type="dxa" w:w="6192"/>
            <w:shd w:fill="FFFFFF"/>
            <w:tcMar>
              <w:top w:w="100" w:type="dxa"/>
              <w:bottom w:w="100" w:type="dxa"/>
              <w:left w:w="140" w:type="dxa"/>
              <w:right w:w="140" w:type="dxa"/>
            </w:tcMar>
          </w:tcPr>
          <w:p>
            <w:pPr>
              <w:spacing w:before="0" w:after="0"/>
            </w:pPr>
            <w:r>
              <w:rPr>
                <w:color w:val="282828"/>
                <w:sz w:val="20"/>
              </w:rPr>
              <w:t>Federico Videau</w:t>
              <w:br/>
              <w:t>Ezequiel Toloza</w:t>
              <w:br/>
              <w:t>Santiago Greco</w:t>
              <w:br/>
              <w:t>Leandro Castro</w:t>
            </w:r>
          </w:p>
        </w:tc>
      </w:tr>
      <w:tr>
        <w:tc>
          <w:tcPr>
            <w:tcW w:type="dxa" w:w="3312"/>
            <w:shd w:fill="F0F4F8"/>
            <w:tcMar>
              <w:top w:w="100" w:type="dxa"/>
              <w:bottom w:w="100" w:type="dxa"/>
              <w:left w:w="140" w:type="dxa"/>
              <w:right w:w="140" w:type="dxa"/>
            </w:tcMar>
          </w:tcPr>
          <w:p>
            <w:pPr>
              <w:spacing w:before="0" w:after="0"/>
            </w:pPr>
            <w:r>
              <w:rPr>
                <w:b/>
                <w:color w:val="003366"/>
                <w:sz w:val="20"/>
              </w:rPr>
              <w:t>Asignatura / Curso:</w:t>
            </w:r>
          </w:p>
        </w:tc>
        <w:tc>
          <w:tcPr>
            <w:tcW w:type="dxa" w:w="6192"/>
            <w:shd w:fill="FFFFFF"/>
            <w:tcMar>
              <w:top w:w="100" w:type="dxa"/>
              <w:bottom w:w="100" w:type="dxa"/>
              <w:left w:w="140" w:type="dxa"/>
              <w:right w:w="140" w:type="dxa"/>
            </w:tcMar>
          </w:tcPr>
          <w:p>
            <w:pPr>
              <w:spacing w:before="0" w:after="0"/>
            </w:pPr>
            <w:r>
              <w:rPr>
                <w:color w:val="282828"/>
                <w:sz w:val="20"/>
              </w:rPr>
              <w:t>Comercio Exterior — Curso I-5053 (Año Académico 2026)</w:t>
            </w:r>
          </w:p>
        </w:tc>
      </w:tr>
      <w:tr>
        <w:tc>
          <w:tcPr>
            <w:tcW w:type="dxa" w:w="3312"/>
            <w:shd w:fill="F0F4F8"/>
            <w:tcMar>
              <w:top w:w="100" w:type="dxa"/>
              <w:bottom w:w="100" w:type="dxa"/>
              <w:left w:w="140" w:type="dxa"/>
              <w:right w:w="140" w:type="dxa"/>
            </w:tcMar>
          </w:tcPr>
          <w:p>
            <w:pPr>
              <w:spacing w:before="0" w:after="0"/>
            </w:pPr>
            <w:r>
              <w:rPr>
                <w:b/>
                <w:color w:val="003366"/>
                <w:sz w:val="20"/>
              </w:rPr>
              <w:t>Empresa Exportadora (Vendedor):</w:t>
            </w:r>
          </w:p>
        </w:tc>
        <w:tc>
          <w:tcPr>
            <w:tcW w:type="dxa" w:w="6192"/>
            <w:shd w:fill="FFFFFF"/>
            <w:tcMar>
              <w:top w:w="100" w:type="dxa"/>
              <w:bottom w:w="100" w:type="dxa"/>
              <w:left w:w="140" w:type="dxa"/>
              <w:right w:w="140" w:type="dxa"/>
            </w:tcMar>
          </w:tcPr>
          <w:p>
            <w:pPr>
              <w:spacing w:before="0" w:after="0"/>
            </w:pPr>
            <w:r>
              <w:rPr>
                <w:color w:val="282828"/>
                <w:sz w:val="20"/>
              </w:rPr>
              <w:t>MATAFUEGOS C.L. S.A. (San Martín, Prov. de Buenos Aires, Argentina)</w:t>
            </w:r>
          </w:p>
        </w:tc>
      </w:tr>
      <w:tr>
        <w:tc>
          <w:tcPr>
            <w:tcW w:type="dxa" w:w="3312"/>
            <w:shd w:fill="F0F4F8"/>
            <w:tcMar>
              <w:top w:w="100" w:type="dxa"/>
              <w:bottom w:w="100" w:type="dxa"/>
              <w:left w:w="140" w:type="dxa"/>
              <w:right w:w="140" w:type="dxa"/>
            </w:tcMar>
          </w:tcPr>
          <w:p>
            <w:pPr>
              <w:spacing w:before="0" w:after="0"/>
            </w:pPr>
            <w:r>
              <w:rPr>
                <w:b/>
                <w:color w:val="003366"/>
                <w:sz w:val="20"/>
              </w:rPr>
              <w:t>Empresa Importadora (Comprador):</w:t>
            </w:r>
          </w:p>
        </w:tc>
        <w:tc>
          <w:tcPr>
            <w:tcW w:type="dxa" w:w="6192"/>
            <w:shd w:fill="FFFFFF"/>
            <w:tcMar>
              <w:top w:w="100" w:type="dxa"/>
              <w:bottom w:w="100" w:type="dxa"/>
              <w:left w:w="140" w:type="dxa"/>
              <w:right w:w="140" w:type="dxa"/>
            </w:tcMar>
          </w:tcPr>
          <w:p>
            <w:pPr>
              <w:spacing w:before="0" w:after="0"/>
            </w:pPr>
            <w:r>
              <w:rPr>
                <w:color w:val="282828"/>
                <w:sz w:val="20"/>
              </w:rPr>
              <w:t>MAGHREB SÉCURITÉ &amp; PROTECTION INDUSTRIELLE S.A.R.L. (Casablanca, Marruecos)</w:t>
            </w:r>
          </w:p>
        </w:tc>
      </w:tr>
      <w:tr>
        <w:tc>
          <w:tcPr>
            <w:tcW w:type="dxa" w:w="3312"/>
            <w:shd w:fill="F0F4F8"/>
            <w:tcMar>
              <w:top w:w="100" w:type="dxa"/>
              <w:bottom w:w="100" w:type="dxa"/>
              <w:left w:w="140" w:type="dxa"/>
              <w:right w:w="140" w:type="dxa"/>
            </w:tcMar>
          </w:tcPr>
          <w:p>
            <w:pPr>
              <w:spacing w:before="0" w:after="0"/>
            </w:pPr>
            <w:r>
              <w:rPr>
                <w:b/>
                <w:color w:val="003366"/>
                <w:sz w:val="20"/>
              </w:rPr>
              <w:t>Mercadería / Término / Pago:</w:t>
            </w:r>
          </w:p>
        </w:tc>
        <w:tc>
          <w:tcPr>
            <w:tcW w:type="dxa" w:w="6192"/>
            <w:shd w:fill="FFFFFF"/>
            <w:tcMar>
              <w:top w:w="100" w:type="dxa"/>
              <w:bottom w:w="100" w:type="dxa"/>
              <w:left w:w="140" w:type="dxa"/>
              <w:right w:w="140" w:type="dxa"/>
            </w:tcMar>
          </w:tcPr>
          <w:p>
            <w:pPr>
              <w:spacing w:before="0" w:after="0"/>
            </w:pPr>
            <w:r>
              <w:rPr>
                <w:color w:val="282828"/>
                <w:sz w:val="20"/>
              </w:rPr>
              <w:t>2.000 Extintores Presurizados IRAM 3525 | CIF Casablanca (Incoterms® 2020) | Carta de Crédito Irrevocable y Confirmada a la Vista (UCP 600)</w:t>
            </w:r>
          </w:p>
        </w:tc>
      </w:tr>
    </w:tbl>
    <w:p>
      <w:r>
        <w:br w:type="page"/>
      </w:r>
    </w:p>
    <w:p>
      <w:pPr>
        <w:keepNext/>
        <w:spacing w:before="240" w:after="80"/>
      </w:pPr>
      <w:r>
        <w:rPr>
          <w:rFonts w:ascii="Arial" w:hAnsi="Arial"/>
          <w:b/>
          <w:color w:val="003366"/>
          <w:sz w:val="25"/>
        </w:rPr>
        <w:t>I. MEMORIA DESCRIPTIVA Y ENCUADRE DE LA OPERACIÓN</w:t>
      </w:r>
    </w:p>
    <w:p>
      <w:pPr>
        <w:spacing w:after="80" w:line="269" w:lineRule="auto"/>
      </w:pPr>
      <w:r>
        <w:t>El presente instrumento contractual formaliza la venta internacional de un lote manufacturado de extintores portátiles presurizados de agua con aditivo AFFF al 1%, producido íntegramente en la planta industrial metalmecánica de la empresa argentina MATAFUEGOS C.L. S.A., sita en el Partido de General San Martín, Provincia de Buenos Aires, con destino a la empresa importadora y distribuidora MAGHREB SÉCURITÉ &amp; PROTECTION INDUSTRIELLE S.A.R.L., radicada en la ciudad de Casablanca, Reino de Marruecos.</w:t>
      </w:r>
    </w:p>
    <w:p>
      <w:pPr>
        <w:spacing w:after="80" w:line="269" w:lineRule="auto"/>
      </w:pPr>
      <w:r>
        <w:t>Esta redacción se estructura en concordancia directa con los parámetros comerciales, técnicos, logísticos y financieros desarrollados en el marco del Trabajo Práctico Anual de la cátedra de Comercio Exterior. En dicho trabajo se demostró la viabilidad técnica y la competitividad económica de exportar un lote trimestral de 2.000 unidades en condición CIF Casablanca, aprovechando una reducción sustancial del costo fabril mediante la sustitución estratégica de la válvula nacional por la válvula de latón forjado Safefire VM22 RO2 importada de origen asiático, logrando un precio de exportación sumamente competitivo en el mercado del Magreb frente a los fabricantes europeos.</w:t>
      </w:r>
    </w:p>
    <w:tbl>
      <w:tblPr>
        <w:tblW w:type="auto" w:w="0"/>
        <w:jc w:val="center"/>
        <w:tblLook w:firstColumn="1" w:firstRow="1" w:lastColumn="0" w:lastRow="0" w:noHBand="0" w:noVBand="1" w:val="04A0"/>
        <w:tblBorders>
          <w:top w:val="none"/>
          <w:bottom w:val="none"/>
          <w:left w:val="single" w:sz="16" w:space="0" w:color="003366"/>
          <w:right w:val="none"/>
          <w:insideH w:val="none"/>
          <w:insideV w:val="none"/>
        </w:tblBorders>
      </w:tblPr>
      <w:tblGrid>
        <w:gridCol w:w="9792"/>
      </w:tblGrid>
      <w:tr>
        <w:tc>
          <w:tcPr>
            <w:tcW w:type="dxa" w:w="9792"/>
            <w:shd w:fill="F4F7FA"/>
            <w:tcMar>
              <w:top w:w="80" w:type="dxa"/>
              <w:bottom w:w="80" w:type="dxa"/>
              <w:left w:w="140" w:type="dxa"/>
              <w:right w:w="140" w:type="dxa"/>
            </w:tcMar>
          </w:tcPr>
          <w:p>
            <w:pPr>
              <w:spacing w:before="0" w:after="40"/>
            </w:pPr>
            <w:r>
              <w:rPr>
                <w:rFonts w:ascii="Arial" w:hAnsi="Arial"/>
                <w:b/>
                <w:color w:val="003366"/>
                <w:sz w:val="18"/>
              </w:rPr>
              <w:t xml:space="preserve">📌 MARCO NORMATIVO INTERNACIONAL ADOPTADO: </w:t>
            </w:r>
            <w:r>
              <w:rPr>
                <w:rFonts w:ascii="Calibri" w:hAnsi="Calibri"/>
                <w:color w:val="323232"/>
                <w:sz w:val="18"/>
              </w:rPr>
              <w:t>El contrato ha sido redactado de conformidad con los estándares de la Convención de las Naciones Unidas sobre los Contratos de Compraventa Internacional de Mercaderías (Viena, 1980 - CISG), las reglas oficiales de la Cámara de Comercio Internacional para la interpretación de términos comerciales (Incoterms® 2020), las Reglas y Usos Uniformes relativos a los Créditos Documentarios (UCP 600 de la CCI) y la reglamentación marroquí de control de conformidad previa al embarque (Programme VoC / IMANOR).</w:t>
            </w:r>
          </w:p>
        </w:tc>
      </w:tr>
    </w:tbl>
    <w:p>
      <w:pPr>
        <w:spacing w:before="0" w:after="40"/>
      </w:pPr>
    </w:p>
    <w:p>
      <w:pPr>
        <w:keepNext/>
        <w:spacing w:before="240" w:after="80"/>
      </w:pPr>
      <w:r>
        <w:rPr>
          <w:rFonts w:ascii="Arial" w:hAnsi="Arial"/>
          <w:b/>
          <w:color w:val="963232"/>
          <w:sz w:val="22"/>
        </w:rPr>
        <w:t>Ficha Resumen de la Transacción Comercial</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896"/>
        <w:gridCol w:w="4896"/>
      </w:tblGrid>
      <w:tr>
        <w:tc>
          <w:tcPr>
            <w:tcW w:type="dxa" w:w="3456"/>
            <w:shd w:fill="F8FAFC"/>
            <w:tcMar>
              <w:top w:w="50" w:type="dxa"/>
              <w:bottom w:w="50" w:type="dxa"/>
              <w:left w:w="100" w:type="dxa"/>
              <w:right w:w="100" w:type="dxa"/>
            </w:tcMar>
          </w:tcPr>
          <w:p>
            <w:pPr>
              <w:spacing w:before="0" w:after="0"/>
            </w:pPr>
            <w:r>
              <w:rPr>
                <w:b/>
                <w:color w:val="003366"/>
                <w:sz w:val="18"/>
              </w:rPr>
              <w:t>Producto Objeto de Comercio</w:t>
            </w:r>
          </w:p>
        </w:tc>
        <w:tc>
          <w:tcPr>
            <w:tcW w:type="dxa" w:w="6336"/>
            <w:shd w:fill="FFFFFF"/>
            <w:tcMar>
              <w:top w:w="50" w:type="dxa"/>
              <w:bottom w:w="50" w:type="dxa"/>
              <w:left w:w="100" w:type="dxa"/>
              <w:right w:w="100" w:type="dxa"/>
            </w:tcMar>
          </w:tcPr>
          <w:p>
            <w:pPr>
              <w:spacing w:before="0" w:after="0"/>
            </w:pPr>
            <w:r>
              <w:rPr>
                <w:sz w:val="18"/>
              </w:rPr>
              <w:t>Extintor portátil de agua presurizada con agente penetrante AFFF (10 Litros). Norma IRAM 3525 / NM ISO 7165.</w:t>
            </w:r>
          </w:p>
        </w:tc>
      </w:tr>
      <w:tr>
        <w:tc>
          <w:tcPr>
            <w:tcW w:type="dxa" w:w="3456"/>
            <w:shd w:fill="F8FAFC"/>
            <w:tcMar>
              <w:top w:w="50" w:type="dxa"/>
              <w:bottom w:w="50" w:type="dxa"/>
              <w:left w:w="100" w:type="dxa"/>
              <w:right w:w="100" w:type="dxa"/>
            </w:tcMar>
          </w:tcPr>
          <w:p>
            <w:pPr>
              <w:spacing w:before="0" w:after="0"/>
            </w:pPr>
            <w:r>
              <w:rPr>
                <w:b/>
                <w:color w:val="003366"/>
                <w:sz w:val="18"/>
              </w:rPr>
              <w:t>Posición Arancelaria Origen / Destino</w:t>
            </w:r>
          </w:p>
        </w:tc>
        <w:tc>
          <w:tcPr>
            <w:tcW w:type="dxa" w:w="6336"/>
            <w:shd w:fill="FFFFFF"/>
            <w:tcMar>
              <w:top w:w="50" w:type="dxa"/>
              <w:bottom w:w="50" w:type="dxa"/>
              <w:left w:w="100" w:type="dxa"/>
              <w:right w:w="100" w:type="dxa"/>
            </w:tcMar>
          </w:tcPr>
          <w:p>
            <w:pPr>
              <w:spacing w:before="0" w:after="0"/>
            </w:pPr>
            <w:r>
              <w:rPr>
                <w:sz w:val="18"/>
              </w:rPr>
              <w:t>Argentina: NCM 8424.10.00 | Marruecos: HS 8424.10.00.00 ('Extincteurs, même chargés').</w:t>
            </w:r>
          </w:p>
        </w:tc>
      </w:tr>
      <w:tr>
        <w:tc>
          <w:tcPr>
            <w:tcW w:type="dxa" w:w="3456"/>
            <w:shd w:fill="F8FAFC"/>
            <w:tcMar>
              <w:top w:w="50" w:type="dxa"/>
              <w:bottom w:w="50" w:type="dxa"/>
              <w:left w:w="100" w:type="dxa"/>
              <w:right w:w="100" w:type="dxa"/>
            </w:tcMar>
          </w:tcPr>
          <w:p>
            <w:pPr>
              <w:spacing w:before="0" w:after="0"/>
            </w:pPr>
            <w:r>
              <w:rPr>
                <w:b/>
                <w:color w:val="003366"/>
                <w:sz w:val="18"/>
              </w:rPr>
              <w:t>Volumen del Lote Comercial</w:t>
            </w:r>
          </w:p>
        </w:tc>
        <w:tc>
          <w:tcPr>
            <w:tcW w:type="dxa" w:w="6336"/>
            <w:shd w:fill="FFFFFF"/>
            <w:tcMar>
              <w:top w:w="50" w:type="dxa"/>
              <w:bottom w:w="50" w:type="dxa"/>
              <w:left w:w="100" w:type="dxa"/>
              <w:right w:w="100" w:type="dxa"/>
            </w:tcMar>
          </w:tcPr>
          <w:p>
            <w:pPr>
              <w:spacing w:before="0" w:after="0"/>
            </w:pPr>
            <w:r>
              <w:rPr>
                <w:sz w:val="18"/>
              </w:rPr>
              <w:t>2.000 extintores completos, embalados individualmente y unitarizados en 20 pallets de madera ARLOG.</w:t>
            </w:r>
          </w:p>
        </w:tc>
      </w:tr>
      <w:tr>
        <w:tc>
          <w:tcPr>
            <w:tcW w:type="dxa" w:w="3456"/>
            <w:shd w:fill="F8FAFC"/>
            <w:tcMar>
              <w:top w:w="50" w:type="dxa"/>
              <w:bottom w:w="50" w:type="dxa"/>
              <w:left w:w="100" w:type="dxa"/>
              <w:right w:w="100" w:type="dxa"/>
            </w:tcMar>
          </w:tcPr>
          <w:p>
            <w:pPr>
              <w:spacing w:before="0" w:after="0"/>
            </w:pPr>
            <w:r>
              <w:rPr>
                <w:b/>
                <w:color w:val="003366"/>
                <w:sz w:val="18"/>
              </w:rPr>
              <w:t>Acondicionamiento Marítimo</w:t>
            </w:r>
          </w:p>
        </w:tc>
        <w:tc>
          <w:tcPr>
            <w:tcW w:type="dxa" w:w="6336"/>
            <w:shd w:fill="FFFFFF"/>
            <w:tcMar>
              <w:top w:w="50" w:type="dxa"/>
              <w:bottom w:w="50" w:type="dxa"/>
              <w:left w:w="100" w:type="dxa"/>
              <w:right w:w="100" w:type="dxa"/>
            </w:tcMar>
          </w:tcPr>
          <w:p>
            <w:pPr>
              <w:spacing w:before="0" w:after="0"/>
            </w:pPr>
            <w:r>
              <w:rPr>
                <w:sz w:val="18"/>
              </w:rPr>
              <w:t>1 Contenedor de 20 pies Dry Van (20' FCL). Peso bruto carga: 6.800 kg (6,8 tn). Cubicaje: 21,0 m³.</w:t>
            </w:r>
          </w:p>
        </w:tc>
      </w:tr>
      <w:tr>
        <w:tc>
          <w:tcPr>
            <w:tcW w:type="dxa" w:w="3456"/>
            <w:shd w:fill="F8FAFC"/>
            <w:tcMar>
              <w:top w:w="50" w:type="dxa"/>
              <w:bottom w:w="50" w:type="dxa"/>
              <w:left w:w="100" w:type="dxa"/>
              <w:right w:w="100" w:type="dxa"/>
            </w:tcMar>
          </w:tcPr>
          <w:p>
            <w:pPr>
              <w:spacing w:before="0" w:after="0"/>
            </w:pPr>
            <w:r>
              <w:rPr>
                <w:b/>
                <w:color w:val="003366"/>
                <w:sz w:val="18"/>
              </w:rPr>
              <w:t>Término de Entrega (Incoterm)</w:t>
            </w:r>
          </w:p>
        </w:tc>
        <w:tc>
          <w:tcPr>
            <w:tcW w:type="dxa" w:w="6336"/>
            <w:shd w:fill="FFFFFF"/>
            <w:tcMar>
              <w:top w:w="50" w:type="dxa"/>
              <w:bottom w:w="50" w:type="dxa"/>
              <w:left w:w="100" w:type="dxa"/>
              <w:right w:w="100" w:type="dxa"/>
            </w:tcMar>
          </w:tcPr>
          <w:p>
            <w:pPr>
              <w:spacing w:before="0" w:after="0"/>
            </w:pPr>
            <w:r>
              <w:rPr>
                <w:sz w:val="18"/>
              </w:rPr>
              <w:t>CIF Puerto de Casablanca, Reino de Marruecos (Incoterms® 2020 de la CCI).</w:t>
            </w:r>
          </w:p>
        </w:tc>
      </w:tr>
      <w:tr>
        <w:tc>
          <w:tcPr>
            <w:tcW w:type="dxa" w:w="3456"/>
            <w:shd w:fill="F8FAFC"/>
            <w:tcMar>
              <w:top w:w="50" w:type="dxa"/>
              <w:bottom w:w="50" w:type="dxa"/>
              <w:left w:w="100" w:type="dxa"/>
              <w:right w:w="100" w:type="dxa"/>
            </w:tcMar>
          </w:tcPr>
          <w:p>
            <w:pPr>
              <w:spacing w:before="0" w:after="0"/>
            </w:pPr>
            <w:r>
              <w:rPr>
                <w:b/>
                <w:color w:val="003366"/>
                <w:sz w:val="18"/>
              </w:rPr>
              <w:t>Precio Unitario CIF Casablanca</w:t>
            </w:r>
          </w:p>
        </w:tc>
        <w:tc>
          <w:tcPr>
            <w:tcW w:type="dxa" w:w="6336"/>
            <w:shd w:fill="FFFFFF"/>
            <w:tcMar>
              <w:top w:w="50" w:type="dxa"/>
              <w:bottom w:w="50" w:type="dxa"/>
              <w:left w:w="100" w:type="dxa"/>
              <w:right w:w="100" w:type="dxa"/>
            </w:tcMar>
          </w:tcPr>
          <w:p>
            <w:pPr>
              <w:spacing w:before="0" w:after="0"/>
            </w:pPr>
            <w:r>
              <w:rPr>
                <w:sz w:val="18"/>
              </w:rPr>
              <w:t>USD 15,89 por unidad (equivalente a aprox. 158,90 Dirhams Marroquíes - MAD).</w:t>
            </w:r>
          </w:p>
        </w:tc>
      </w:tr>
      <w:tr>
        <w:tc>
          <w:tcPr>
            <w:tcW w:type="dxa" w:w="3456"/>
            <w:shd w:fill="F8FAFC"/>
            <w:tcMar>
              <w:top w:w="50" w:type="dxa"/>
              <w:bottom w:w="50" w:type="dxa"/>
              <w:left w:w="100" w:type="dxa"/>
              <w:right w:w="100" w:type="dxa"/>
            </w:tcMar>
          </w:tcPr>
          <w:p>
            <w:pPr>
              <w:spacing w:before="0" w:after="0"/>
            </w:pPr>
            <w:r>
              <w:rPr>
                <w:b/>
                <w:color w:val="003366"/>
                <w:sz w:val="18"/>
              </w:rPr>
              <w:t>Valor Contractual Total CIF</w:t>
            </w:r>
          </w:p>
        </w:tc>
        <w:tc>
          <w:tcPr>
            <w:tcW w:type="dxa" w:w="6336"/>
            <w:shd w:fill="FFFFFF"/>
            <w:tcMar>
              <w:top w:w="50" w:type="dxa"/>
              <w:bottom w:w="50" w:type="dxa"/>
              <w:left w:w="100" w:type="dxa"/>
              <w:right w:w="100" w:type="dxa"/>
            </w:tcMar>
          </w:tcPr>
          <w:p>
            <w:pPr>
              <w:spacing w:before="0" w:after="0"/>
            </w:pPr>
            <w:r>
              <w:rPr>
                <w:sz w:val="18"/>
              </w:rPr>
              <w:t>USD 31.784,14 (FOB Buenos Aires: USD 29.724,14 + Flete: USD 1.950,00 + Seguro ICC 'A': USD 110,00).</w:t>
            </w:r>
          </w:p>
        </w:tc>
      </w:tr>
      <w:tr>
        <w:tc>
          <w:tcPr>
            <w:tcW w:type="dxa" w:w="3456"/>
            <w:shd w:fill="F8FAFC"/>
            <w:tcMar>
              <w:top w:w="50" w:type="dxa"/>
              <w:bottom w:w="50" w:type="dxa"/>
              <w:left w:w="100" w:type="dxa"/>
              <w:right w:w="100" w:type="dxa"/>
            </w:tcMar>
          </w:tcPr>
          <w:p>
            <w:pPr>
              <w:spacing w:before="0" w:after="0"/>
            </w:pPr>
            <w:r>
              <w:rPr>
                <w:b/>
                <w:color w:val="003366"/>
                <w:sz w:val="18"/>
              </w:rPr>
              <w:t>Medio de Pago Internacional</w:t>
            </w:r>
          </w:p>
        </w:tc>
        <w:tc>
          <w:tcPr>
            <w:tcW w:type="dxa" w:w="6336"/>
            <w:shd w:fill="FFFFFF"/>
            <w:tcMar>
              <w:top w:w="50" w:type="dxa"/>
              <w:bottom w:w="50" w:type="dxa"/>
              <w:left w:w="100" w:type="dxa"/>
              <w:right w:w="100" w:type="dxa"/>
            </w:tcMar>
          </w:tcPr>
          <w:p>
            <w:pPr>
              <w:spacing w:before="0" w:after="0"/>
            </w:pPr>
            <w:r>
              <w:rPr>
                <w:sz w:val="18"/>
              </w:rPr>
              <w:t>Carta de Crédito (L/C) Irrevocable, Confirmada y Pagadera a la Vista contra documentos de embarque (UCP 600).</w:t>
            </w:r>
          </w:p>
        </w:tc>
      </w:tr>
      <w:tr>
        <w:tc>
          <w:tcPr>
            <w:tcW w:type="dxa" w:w="3456"/>
            <w:shd w:fill="F8FAFC"/>
            <w:tcMar>
              <w:top w:w="50" w:type="dxa"/>
              <w:bottom w:w="50" w:type="dxa"/>
              <w:left w:w="100" w:type="dxa"/>
              <w:right w:w="100" w:type="dxa"/>
            </w:tcMar>
          </w:tcPr>
          <w:p>
            <w:pPr>
              <w:spacing w:before="0" w:after="0"/>
            </w:pPr>
            <w:r>
              <w:rPr>
                <w:b/>
                <w:color w:val="003366"/>
                <w:sz w:val="18"/>
              </w:rPr>
              <w:t>Bancos Intervinientes</w:t>
            </w:r>
          </w:p>
        </w:tc>
        <w:tc>
          <w:tcPr>
            <w:tcW w:type="dxa" w:w="6336"/>
            <w:shd w:fill="FFFFFF"/>
            <w:tcMar>
              <w:top w:w="50" w:type="dxa"/>
              <w:bottom w:w="50" w:type="dxa"/>
              <w:left w:w="100" w:type="dxa"/>
              <w:right w:w="100" w:type="dxa"/>
            </w:tcMar>
          </w:tcPr>
          <w:p>
            <w:pPr>
              <w:spacing w:before="0" w:after="0"/>
            </w:pPr>
            <w:r>
              <w:rPr>
                <w:sz w:val="18"/>
              </w:rPr>
              <w:t>Banco Emisor: Attijariwafa Bank (Casablanca) | Banco Confirmador: Banco Santander Argentina S.A. (Bs. As.).</w:t>
            </w:r>
          </w:p>
        </w:tc>
      </w:tr>
    </w:tbl>
    <w:p>
      <w:r>
        <w:br w:type="page"/>
      </w:r>
    </w:p>
    <w:p>
      <w:pPr>
        <w:keepNext/>
        <w:spacing w:before="240" w:after="80"/>
      </w:pPr>
      <w:r>
        <w:rPr>
          <w:rFonts w:ascii="Arial" w:hAnsi="Arial"/>
          <w:b/>
          <w:color w:val="003366"/>
          <w:sz w:val="25"/>
        </w:rPr>
        <w:t>II. CONTRATO DE COMPRAVENTA INTERNACIONAL DE MERCADERÍAS</w:t>
      </w:r>
    </w:p>
    <w:p>
      <w:pPr>
        <w:spacing w:after="160" w:line="276" w:lineRule="auto"/>
      </w:pPr>
      <w:r>
        <w:t>En la Ciudad de Buenos Aires, República Argentina, a los 25 días del mes de septiembre de 2026, celebran el presente CONTRATO DE COMPRAVENTA INTERNACIONAL DE MERCADERÍAS las partes que se individualizan a continuación:</w:t>
      </w:r>
    </w:p>
    <w:p>
      <w:pPr>
        <w:keepNext/>
        <w:spacing w:before="240" w:after="80"/>
      </w:pPr>
      <w:r>
        <w:rPr>
          <w:rFonts w:ascii="Arial" w:hAnsi="Arial"/>
          <w:b/>
          <w:color w:val="963232"/>
          <w:sz w:val="22"/>
        </w:rPr>
        <w:t>CLÁUSULA PRIMERA: DATOS DE LAS PARTES CONTRATANTES</w:t>
      </w:r>
    </w:p>
    <w:p>
      <w:pPr>
        <w:spacing w:after="120" w:line="276" w:lineRule="auto"/>
      </w:pPr>
      <w:r>
        <w:rPr>
          <w:b/>
        </w:rPr>
        <w:t>1.1. LA PARTE VENDEDORA (EXPORTADOR):</w:t>
        <w:br/>
      </w:r>
      <w:r>
        <w:rPr>
          <w:b/>
        </w:rPr>
        <w:t xml:space="preserve">• Razón Social: </w:t>
      </w:r>
      <w:r>
        <w:t>MATAFUEGOS C.L. S.A.</w:t>
        <w:br/>
      </w:r>
      <w:r>
        <w:rPr>
          <w:b/>
        </w:rPr>
        <w:t xml:space="preserve">• Número de CUIT: </w:t>
      </w:r>
      <w:r>
        <w:t>30-71458920-4 (Inscripta como Importador/Exportador habilitado ante ARCA / Dirección General de Aduanas).</w:t>
        <w:br/>
      </w:r>
      <w:r>
        <w:rPr>
          <w:b/>
        </w:rPr>
        <w:t xml:space="preserve">• Domicilio Legal y Planta Industrial: </w:t>
      </w:r>
      <w:r>
        <w:t>Av. San Martín 4580, Parque Industrial San Martín, Partido de General San Martín, Código Postal B1650, Provincia de Buenos Aires, República Argentina.</w:t>
        <w:br/>
      </w:r>
      <w:r>
        <w:rPr>
          <w:b/>
        </w:rPr>
        <w:t xml:space="preserve">• Representante Legal: </w:t>
      </w:r>
      <w:r>
        <w:t>Ing. Santiago Greco, Documento Nacional de Identidad N° 40.852.147, en su carácter de Director Ejecutivo y Apoderado General, con facultades suficientes para obligar a la sociedad acreditadas mediante Escritura Pública de Mandato N° 412, pasada ante el Escribano Público del Registro Notarial de San Martín.</w:t>
        <w:br/>
      </w:r>
      <w:r>
        <w:rPr>
          <w:b/>
        </w:rPr>
        <w:t xml:space="preserve">• Correo Electrónico Institucional: </w:t>
      </w:r>
      <w:r>
        <w:t>comercioexterior@matafuegoscl.com.ar / santiago.greco@matafuegoscl.com.ar</w:t>
      </w:r>
    </w:p>
    <w:p>
      <w:pPr>
        <w:spacing w:after="160" w:line="276" w:lineRule="auto"/>
      </w:pPr>
      <w:r>
        <w:rPr>
          <w:b/>
        </w:rPr>
        <w:t>1.2. LA PARTE COMPRADORA (IMPORTADOR):</w:t>
        <w:br/>
      </w:r>
      <w:r>
        <w:rPr>
          <w:b/>
        </w:rPr>
        <w:t xml:space="preserve">• Razón Social: </w:t>
      </w:r>
      <w:r>
        <w:t>MAGHREB SÉCURITÉ &amp; PROTECTION INDUSTRIELLE S.A.R.L. (en adelante, MSPI S.A.R.L.).</w:t>
        <w:br/>
      </w:r>
      <w:r>
        <w:rPr>
          <w:b/>
        </w:rPr>
        <w:t xml:space="preserve">• Identificación Tributaria y Registral: </w:t>
      </w:r>
      <w:r>
        <w:t>Identifiant Fiscal (IF) N° 40285914; Registre du Commerce (RC Casablanca) N° 218452; Identifiant Commun de l'Entreprise (ICE) N° 001928374000082.</w:t>
        <w:br/>
      </w:r>
      <w:r>
        <w:rPr>
          <w:b/>
        </w:rPr>
        <w:t xml:space="preserve">• Domicilio Legal y Almacenes: </w:t>
      </w:r>
      <w:r>
        <w:t>Boulevard Moulay Ismaïl N° 124, Quartier Industriel Roches Noires, Casablanca 20300, Reino de Marruecos.</w:t>
        <w:br/>
      </w:r>
      <w:r>
        <w:rPr>
          <w:b/>
        </w:rPr>
        <w:t xml:space="preserve">• Representante Legal: </w:t>
      </w:r>
      <w:r>
        <w:t>M. Youssef El Mansouri, Pasaporte Marroquí N° BK-904128, en su condición de Gérant Général (Gerente General), facultado para la suscripción de contratos de suministro internacional conforme al Estatuto Social inscripto en el Tribunal de Commerce de Casablanca.</w:t>
        <w:br/>
      </w:r>
      <w:r>
        <w:rPr>
          <w:b/>
        </w:rPr>
        <w:t xml:space="preserve">• Correo Electrónico Institucional: </w:t>
      </w:r>
      <w:r>
        <w:t>y.elmansouri@maghrebsecurite.ma / direction.achats@maghrebsecurite.ma</w:t>
      </w:r>
    </w:p>
    <w:p>
      <w:pPr>
        <w:spacing w:after="200" w:line="276" w:lineRule="auto"/>
      </w:pPr>
      <w:r>
        <w:t>Ambas partes declaran bajo juramento que poseen plena personería jurídica, capacidad legal de contratación y las habilitaciones técnicas y aduaneras requeridas en sus respectivas jurisdicciones para perfeccionar el presente negocio de compraventa.</w:t>
      </w:r>
    </w:p>
    <w:p>
      <w:pPr>
        <w:keepNext/>
        <w:spacing w:before="240" w:after="80"/>
      </w:pPr>
      <w:r>
        <w:rPr>
          <w:rFonts w:ascii="Arial" w:hAnsi="Arial"/>
          <w:b/>
          <w:color w:val="963232"/>
          <w:sz w:val="22"/>
        </w:rPr>
        <w:t>CLÁUSULA SEGUNDA: OBJETO DEL CONTRATO, ESPECIFICACIONES TÉCNICAS Y CANTIDAD</w:t>
      </w:r>
    </w:p>
    <w:p>
      <w:pPr>
        <w:spacing w:after="120" w:line="276" w:lineRule="auto"/>
      </w:pPr>
      <w:r>
        <w:rPr>
          <w:b/>
        </w:rPr>
        <w:t xml:space="preserve">2.1. OBJETO: </w:t>
      </w:r>
      <w:r>
        <w:t>Por el presente contrato, el VENDEDOR se obliga a fabricar, enajenar y entregar al COMPRADOR, y este se obliga a adquirir y pagar, un lote manufacturado de dos mil (2.000) extintores portátiles presurizados de agua con agente humectante/penetrante AFFF, conforme a las especificaciones técnicas estipuladas seguidamente.</w:t>
      </w:r>
    </w:p>
    <w:p>
      <w:pPr>
        <w:spacing w:after="120" w:line="276" w:lineRule="auto"/>
      </w:pPr>
      <w:r>
        <w:rPr>
          <w:b/>
        </w:rPr>
        <w:t>2.2. CLASIFICACIÓN ARANCELARIA:</w:t>
        <w:br/>
      </w:r>
      <w:r>
        <w:t>• Posición Arancelaria en Aduana de Origen (Argentina): NCM 8424.10.00.</w:t>
        <w:br/>
      </w:r>
      <w:r>
        <w:t>• Posición Arancelaria en Aduana de Destino (Marruecos): HS 8424.10.00.00 ('Extincteurs, même chargés').</w:t>
      </w:r>
    </w:p>
    <w:p>
      <w:pPr>
        <w:spacing w:after="120" w:line="276" w:lineRule="auto"/>
      </w:pPr>
      <w:r>
        <w:rPr>
          <w:b/>
        </w:rPr>
        <w:t>2.3. ESPECIFICACIONES TÉCNICAS Y CONSTRUCTIVAS DEL PRODUCTO:</w:t>
        <w:br/>
      </w:r>
      <w:r>
        <w:t>a) Agente Extintor y Capacidad: Carga líquida nominal de 10 litros de solución acuosa conteniendo agua desionizada con un 1,00% de concentrado humectante espumógeno AFFF (Aqueous Film Forming Foam), dotado de alto poder penetrante para sofocación y enfriamiento de combustibles sólidos Clase A (maderas, cartones, virutas, textiles, fardos y gomas).</w:t>
        <w:br/>
        <w:t>b) Cilindro Metálico: Recipiente presurizado cilíndrico estampado en chapa de acero al carbono laminada en frío calidad SAE 1010/1020 de 1,5 mm de espesor nominal, conformado por calandrado y embutición con soldadura longitudinal y circunferencial robotizada bajo proceso MIG-MAG con gas inerte de protección. Fondo cóncavo reforzado y tratamiento superficial interior mediante película termoplástica anticorrosiva de resina epoxi-poliéster curada en horno a 180°C.</w:t>
        <w:br/>
        <w:t>c) Parámetros de Presión y Ensayo: Presión normal de servicio y trabajo: 14 bar a 20°C. Presión de prueba hidrostática de estanqueidad y resistencia en planta fabril: 25 bar sobre el 100% de los recipientes manufacturados, conforme a la Norma IRAM 3525 y la Norma Marroquí NM ISO 7165 (IMANOR).</w:t>
        <w:br/>
        <w:t>d) Valvulería y Tobera: Válvula de descarga modelo VM22 RO2 fabricada en latón forjado en caliente bajo norma DIN 17660, rosca de cuello M22 x 1,5 mm con anillo de sellado O-ring de caucho nitrilo NBR Shore A 90. Palancas de accionamiento y transporte en chapa de acero pintadas en polvo poliéster horneado color rojo RAL 3000. Puerto lateral roscado de 1/8" NPT equipado con manómetro visual de control continuo diferenciado por franjas de color (rango de operatividad nominal: 12 a 16 bar). Pasador de seguridad de acero inoxidable con precinto plástico de seguridad numerado.</w:t>
        <w:br/>
        <w:t>e) Rotulación y Marcado Obligatorio: Serigrafía indeleble en idiomas francés y árabe conforme a la reglamentación marroquí de seguridad contra incendios, indicando nombre del fabricante, instrucciones operativas en cuatro pasos gráficos, potencial extintor certificado, advertencia expresa de 'NE PAS UTILISER SUR DES ÉQUIPEMENTS ÉLECTRIQUES SOUS TENSION' (NO USAR EN INSTALACIONES ELÉCTRICAS CON CARGA), número de lote y fecha de ensayo hidrostático.</w:t>
      </w:r>
    </w:p>
    <w:p>
      <w:pPr>
        <w:spacing w:after="120" w:line="276" w:lineRule="auto"/>
      </w:pPr>
      <w:r>
        <w:rPr>
          <w:b/>
        </w:rPr>
        <w:t>2.4. CANTIDAD Y TOLERANCIA:</w:t>
        <w:br/>
      </w:r>
      <w:r>
        <w:t>La cantidad vendida es de exactamente dos mil (2.000) unidades. Al tratarse de un cargamento consolidado a contenedor completo (FCL) con cubicaje optimizado para estiba, las partes pactan expresamente una tolerancia de cantidad del cero por ciento (0%), no admitiéndose faltantes ni excesos de unidades sobre la orden acordada.</w:t>
      </w:r>
    </w:p>
    <w:p>
      <w:pPr>
        <w:spacing w:after="160" w:line="276" w:lineRule="auto"/>
      </w:pPr>
      <w:r>
        <w:rPr>
          <w:b/>
        </w:rPr>
        <w:t>2.5. ENVASE, EMBALAJE Y UNITARIZACIÓN LOGÍSTICA:</w:t>
        <w:br/>
      </w:r>
      <w:r>
        <w:t>• Embalaje Primario: Cada extintor se acondiciona en una caja individual de cartón corrugado reforzado doble onda de dimensiones exteriores 15 cm x 15 cm de base x 45 cm de altura, provista de tacos de poliestireno expandido preformado para la inmovilización de la válvula, tobera y manómetro. Peso bruto por unidad embalada: 3,20 kg.</w:t>
        <w:br/>
        <w:t>• Unitarización en Pallets: Las 2.000 unidades se unitarizan en veinte (20) pallets de madera estándar normalizados ARLOG / Mercosur (1.200 mm de largo x 1.000 mm de ancho). Cada pallet aloja cien (100) extintores dispuestos en diez (10) cajas por camada a lo largo de diez (10) camadas de altura. Carga asegurada mediante zunchos plásticos de polipropileno de alta resistencia a la tracción, cantoneras de protección perimetral de cartón prensado y envoltura completa en film stretch tricapa termoplástico de 30 micrones. Altura de cada pallet: 1,05 m. Peso bruto por pallet: 340 kg (320 kg de producto + 20 kg de tarima de madera).</w:t>
        <w:br/>
        <w:t>• Tratamiento Fitosanitario: Toda la madera utilizada en las tarimas cuenta con tratamiento térmico fitosanitario (HT) homologado por SENASA bajo la Norma Internacional para Medidas Fitosanitarias NIMF N° 15, acreditado mediante sello oficial pirograbado visible en ambas caras del pallet.</w:t>
        <w:br/>
        <w:t>• Consolidación Marítima: Los 20 pallets se consolidan íntegramente en un (1) Contenedor Marítimo de 20 pies Dry Van (20' FCL). Esquema de estiba: 10 pallets en piso en 2 niveles de altura remontada (10 x 2 = 20 pallets totales), ocupando una altura vertical de 2,10 m (dentro de los 2,39 m libres de altura interior del contenedor). Peso bruto total de la carga consolidada: 6.800 kg (6,80 toneladas métricas).</w:t>
      </w:r>
    </w:p>
    <w:p>
      <w:pPr>
        <w:keepNext/>
        <w:spacing w:before="240" w:after="80"/>
      </w:pPr>
      <w:r>
        <w:rPr>
          <w:rFonts w:ascii="Arial" w:hAnsi="Arial"/>
          <w:b/>
          <w:color w:val="963232"/>
          <w:sz w:val="22"/>
        </w:rPr>
        <w:t>CLÁUSULA TERCERA: PRECIO CONTRACTUAL Y CONDICIONES DE PAGO</w:t>
      </w:r>
    </w:p>
    <w:p>
      <w:pPr>
        <w:spacing w:after="120" w:line="276" w:lineRule="auto"/>
      </w:pPr>
      <w:r>
        <w:rPr>
          <w:b/>
        </w:rPr>
        <w:t>3.1. MONEDA Y PRECIO CONTRACTUAL:</w:t>
        <w:br/>
      </w:r>
      <w:r>
        <w:t>El precio convenido para la presente compraventa internacional se fija en DÓLARES DE LOS ESTADOS UNIDOS DE AMÉRICA (USD), conforme al siguiente desglose unitario y global:</w:t>
        <w:br/>
        <w:t>• Precio Unitario CIF Casablanca: USD 15,89 (Quince dólares estadounidenses con 89/100) por extintor completo.</w:t>
        <w:br/>
        <w:t>• MONTO TOTAL DEL CONTRATO CIF PUERTO DE CASABLANCA: USD 31.784,14 (Treinta y un mil setecientos ochenta y cuatro dólares estadounidenses con 14/100).</w:t>
        <w:br/>
        <w:br/>
        <w:t>Estructura analítica del precio contractual consolidado:</w:t>
        <w:br/>
        <w:t xml:space="preserve">  - Valor de la Mercadería FOB Puerto de Buenos Aires (2.000 u. x USD 14,86207): USD 29.724,14</w:t>
        <w:br/>
        <w:t xml:space="preserve">  - Flete Marítimo Internacional (FCL 20' Buenos Aires - Casablanca): USD 1.950,00</w:t>
        <w:br/>
        <w:t xml:space="preserve">  - Prima de Seguro Internacional de Transporte Marítimo (Póliza ICC 'A'): USD 110,00</w:t>
        <w:br/>
        <w:t xml:space="preserve">  - TOTAL CONTRATADO CIF PUERTO DE CASABLANCA: USD 31.784,14</w:t>
      </w:r>
    </w:p>
    <w:p>
      <w:pPr>
        <w:spacing w:after="120" w:line="276" w:lineRule="auto"/>
      </w:pPr>
      <w:r>
        <w:rPr>
          <w:b/>
        </w:rPr>
        <w:t>3.2. INALTERABILIDAD DEL PRECIO:</w:t>
        <w:br/>
      </w:r>
      <w:r>
        <w:t>El precio pactado es firme, fijo y no estará sujeto a revisión, reajuste por variaciones de costos de insumos, fletes o fluctuaciones cambiarias durante la vigencia del presente contrato, salvo acuerdo escrito y expreso suscripto por ambas partes.</w:t>
      </w:r>
    </w:p>
    <w:p>
      <w:pPr>
        <w:spacing w:after="120" w:line="276" w:lineRule="auto"/>
      </w:pPr>
      <w:r>
        <w:rPr>
          <w:b/>
        </w:rPr>
        <w:t>3.3. MEDIO DE PAGO INTERNACIONAL:</w:t>
        <w:br/>
      </w:r>
      <w:r>
        <w:t>El pago del monto total contractual será efectuado mediante CARTA DE CRÉDITO COMERCIAL (CRÉDITO DOCUMENTARIO) IRREVOCABLE, CONFIRMADA Y PAGADERA A LA VISTA (At Sight), emitida en estricta sujeción a las 'Reglas y Usos Uniformes relativos a los Créditos Documentarios' de la Cámara de Comercio Internacional (Publicación UCP 600 de la CCI).</w:t>
      </w:r>
    </w:p>
    <w:p>
      <w:pPr>
        <w:spacing w:after="120" w:line="276" w:lineRule="auto"/>
      </w:pPr>
      <w:r>
        <w:rPr>
          <w:b/>
        </w:rPr>
        <w:t>3.4. INSTITUCIONES BANCARIAS INTERVINIENTES:</w:t>
        <w:br/>
      </w:r>
      <w:r>
        <w:t>• Banco Emisor: ATTIJARIWAFA BANK, con sede central en Boulevard Hassan II, Casablanca, Reino de Marruecos.</w:t>
        <w:br/>
        <w:t>• Banco Notificador, Confirmador y Pagador: BANCO SANTANDER ARGENTINA S.A., Casa Central, Bartolomé Mitre 480, Ciudad Autónoma de Buenos Aires, República Argentina (Código SWIFT: BSANARBA).</w:t>
      </w:r>
    </w:p>
    <w:p>
      <w:pPr>
        <w:spacing w:after="120" w:line="276" w:lineRule="auto"/>
      </w:pPr>
      <w:r>
        <w:rPr>
          <w:b/>
        </w:rPr>
        <w:t>3.5. PLAZOS OPERATIVOS DEL PAGO:</w:t>
        <w:br/>
      </w:r>
      <w:r>
        <w:t>a) Apertura: El COMPRADOR se obliga a tramitar y efectivizar la apertura formal de la Carta de Crédito a través del Banco Emisor dentro del plazo perentorio de quince (15) días corridos contados desde la firma del presente contrato y recepción de la correspondiente Factura Proforma emitida por el VENDEDOR.</w:t>
        <w:br/>
        <w:t>b) Confirmación: La Carta de Crédito deberá ser notificada y confirmada por el Banco Santander Argentina S.A. dentro de los diez (10) días corridos posteriores a su emisión.</w:t>
        <w:br/>
        <w:t>c) Pago a la Vista: El Banco Confirmador en Buenos Aires liberará el pago íntegro por USD 31.784,14 a favor del VENDEDOR dentro de los cinco (5) días hábiles bancarios siguientes a la presentación formal y conforme de los documentos de embarque estipulados en la Cláusula Quinta.</w:t>
        <w:br/>
        <w:t>d) Validez del Crédito: La vigencia de la Carta de Crédito se extenderá por un período de noventa (90) días corridos desde su apertura, permitiendo al VENDEDOR un plazo de presentación documental de hasta veintiún (21) días corridos contados a partir de la fecha de emisión del Conocimiento de Embarque (Bill of Lading).</w:t>
      </w:r>
    </w:p>
    <w:p>
      <w:pPr>
        <w:spacing w:after="160" w:line="276" w:lineRule="auto"/>
      </w:pPr>
      <w:r>
        <w:rPr>
          <w:b/>
        </w:rPr>
        <w:t>3.6. REPARTO DE GASTOS Y COMISIONES BANCARIAS:</w:t>
        <w:br/>
      </w:r>
      <w:r>
        <w:t>Todos los gastos bancarios, aranceles, tasas de apertura y comisiones devengadas en el país de emisión (Marruecos) serán de cuenta exclusiva del COMPRADOR. Los gastos bancarios por notificación, confirmación y negociación de documentos devengados en el país del VENDEDOR (Argentina) serán a cargo del VENDEDOR. Toda eventual enmienda a los términos del crédito documentario solicitada por el COMPRADOR correrá por cuenta exclusiva de este.</w:t>
      </w:r>
    </w:p>
    <w:p>
      <w:pPr>
        <w:keepNext/>
        <w:spacing w:before="240" w:after="80"/>
      </w:pPr>
      <w:r>
        <w:rPr>
          <w:rFonts w:ascii="Arial" w:hAnsi="Arial"/>
          <w:b/>
          <w:color w:val="963232"/>
          <w:sz w:val="22"/>
        </w:rPr>
        <w:t>CLÁUSULA CUARTA: CONDICIONES DE ENTREGA, TRANSPORTE Y TRANSFERENCIA DEL RIESGO (INCOTERMS® 2020)</w:t>
      </w:r>
    </w:p>
    <w:p>
      <w:pPr>
        <w:spacing w:after="120" w:line="276" w:lineRule="auto"/>
      </w:pPr>
      <w:r>
        <w:rPr>
          <w:b/>
        </w:rPr>
        <w:t xml:space="preserve">4.1. TÉRMINO COMERCIAL ACORDADO: </w:t>
      </w:r>
      <w:r>
        <w:t>La compraventa se pacta expresamente bajo la regla CIF (Cost, Insurance and Freight / Costo, Seguro y Flete) — Puerto de Casablanca, Reino de Marruecos, de conformidad con las Reglas Incoterms® 2020 de la Cámara de Comercio Internacional.</w:t>
      </w:r>
    </w:p>
    <w:p>
      <w:pPr>
        <w:spacing w:after="120" w:line="276" w:lineRule="auto"/>
      </w:pPr>
      <w:r>
        <w:rPr>
          <w:b/>
        </w:rPr>
        <w:t>4.2. LUGAR DE ENTREGA Y TRANSFERENCIA DEL RIESGO:</w:t>
        <w:br/>
      </w:r>
      <w:r>
        <w:t>De estricto acuerdo con la regla CIF de los Incoterms® 2020, el VENDEDOR cumple con su obligación jurídica de entrega cuando la mercadería es colocada a bordo del buque portacontenedores en el Puerto de Buenos Aires (Terminal 4 / TRP), República Argentina. En ese preciso instante se produce la transmisión plena de los riesgos de pérdida, sustracción o deterioro de las mercaderías del VENDEDOR hacia el COMPRADOR. Los riesgos acaecidos durante el transporte oceánico internacional correrán por cuenta del COMPRADOR, quien gozará de la protección de la póliza de seguro marítimo contratada por el VENDEDOR a su favor.</w:t>
      </w:r>
    </w:p>
    <w:p>
      <w:pPr>
        <w:spacing w:after="120" w:line="276" w:lineRule="auto"/>
      </w:pPr>
      <w:r>
        <w:rPr>
          <w:b/>
        </w:rPr>
        <w:t>4.3. PLAZO DE EMBARQUE:</w:t>
        <w:br/>
      </w:r>
      <w:r>
        <w:t>El VENDEDOR se obliga a situar y embarcar la mercadería en el buque portacontenedores en el Puerto de Buenos Aires dentro de un plazo máximo de cuarenta y cinco (45) días corridos, computados a partir de la fecha de recepción de la notificación formal de apertura y confirmación operativa de la Carta de Crédito emitida por el Banco Santander Argentina S.A.</w:t>
      </w:r>
    </w:p>
    <w:p>
      <w:pPr>
        <w:spacing w:after="120" w:line="276" w:lineRule="auto"/>
      </w:pPr>
      <w:r>
        <w:rPr>
          <w:b/>
        </w:rPr>
        <w:t>4.4. CONDICIONES DEL TRANSPORTE:</w:t>
        <w:br/>
      </w:r>
      <w:r>
        <w:t>• Modalidad: Envío consolidado en un (1) Contenedor de 20 pies Dry Van (20' FCL).</w:t>
        <w:br/>
        <w:t>• Embarques Parciales: PROHIBIDOS (Partial shipments prohibited). Todo el lote de 2.000 extintores debe embarcarse en un único envío.</w:t>
        <w:br/>
        <w:t>• Transbordos Marítimos: PERMITIDOS (Transhipment permitted), contemplándose la ruta oceánica regular Buenos Aires - Tánger Med / Algeciras y enlace marítimo secundario con atraque definitivo en la Terminal de Contenedores del Puerto de Casablanca.</w:t>
      </w:r>
    </w:p>
    <w:p>
      <w:pPr>
        <w:spacing w:after="120" w:line="276" w:lineRule="auto"/>
      </w:pPr>
      <w:r>
        <w:rPr>
          <w:b/>
        </w:rPr>
        <w:t>4.5. PÓLIZA DE SEGURO MARÍTIMO DE TRANSPORTE:</w:t>
        <w:br/>
      </w:r>
      <w:r>
        <w:t>En cumplimiento de las obligaciones estipuladas bajo el término CIF Incoterms® 2020, el VENDEDOR contratará a su costa con una compañía aseguradora de primer rango internacional una póliza de seguro de transporte marítimo con cobertura mínima 'Institute Cargo Clauses (A)' — ICC 'A' (Todo Riesgo) del Instituto de Aseguradores de Londres. La póliza se emitirá por el ciento diez por ciento (110%) del importe contractual CIF, ascendiendo a la suma asegurada de USD 34.962,55 (Treinta y cuatro mil novecientos sesenta y dos dólares con 55/100). La póliza estará nominada en USD, amparará la travesía desde la planta del VENDEDOR en San Martín hasta el depósito del COMPRADOR en Casablanca, y será endosada a la orden del COMPRADOR para la presentación bancaria.</w:t>
      </w:r>
    </w:p>
    <w:p>
      <w:pPr>
        <w:spacing w:after="160" w:line="276" w:lineRule="auto"/>
      </w:pPr>
      <w:r>
        <w:rPr>
          <w:b/>
        </w:rPr>
        <w:t>4.6. CLÁUSULA PENAL POR MORA EN EL EMBARQUE:</w:t>
        <w:br/>
      </w:r>
      <w:r>
        <w:t>Si el VENDEDOR demorase el embarque de la mercadería por causas que le fueren imputables y no motivadas por fuerza mayor, el COMPRADOR tendrá derecho a deducir una indemnización por mora a razón del medio por ciento (0,5%) del valor FOB de la mercadería por cada semana completa de retraso, hasta alcanzar un tope máximo del cinco por ciento (5%) del importe contractual. Si la demora superase los treinta (30) días corridos sin que medie justificación formal, el COMPRADOR podrá declarar resuelto el contrato sin penalidad a su cargo.</w:t>
      </w:r>
    </w:p>
    <w:p>
      <w:pPr>
        <w:keepNext/>
        <w:spacing w:before="240" w:after="80"/>
      </w:pPr>
      <w:r>
        <w:rPr>
          <w:rFonts w:ascii="Arial" w:hAnsi="Arial"/>
          <w:b/>
          <w:color w:val="963232"/>
          <w:sz w:val="22"/>
        </w:rPr>
        <w:t>CLÁUSULA QUINTA: DOCUMENTACIÓN EXIGIBLE PARA LA LIBERACIÓN Y COBRO</w:t>
      </w:r>
    </w:p>
    <w:p>
      <w:pPr>
        <w:spacing w:after="120" w:line="276" w:lineRule="auto"/>
      </w:pPr>
      <w:r>
        <w:t>Para proceder a la negociación y cobro de la Carta de Crédito ante el Banco Confirmador, así como para posibilitar el despacho a plaza en la Aduana de Casablanca, el VENDEDOR deberá emitir y presentar la siguiente documentación estipulada en idioma inglés/francés, redactada en forma clara, coincidente y sin enmiendas:</w:t>
      </w:r>
    </w:p>
    <w:p>
      <w:pPr>
        <w:spacing w:after="80" w:line="276" w:lineRule="auto"/>
      </w:pPr>
      <w:r>
        <w:rPr>
          <w:b/>
        </w:rPr>
        <w:t xml:space="preserve">1. Factura Comercial Electrónica de Exportación (Invoice Clase 'E'): </w:t>
      </w:r>
      <w:r>
        <w:t>Emitida conforme a la normativa de ARCA (Argentina) nominada en USD, detallando valor unitario y total CIF Casablanca, número de Carta de Crédito, descripción técnica y posición arancelaria NCM 8424.10.00. Presentación: Un (1) original firmado y sellado + tres (3) copias comerciales.</w:t>
        <w:br/>
      </w:r>
      <w:r>
        <w:rPr>
          <w:b/>
        </w:rPr>
        <w:t xml:space="preserve">2. Lista de Empaque Detallada (Packing List): </w:t>
      </w:r>
      <w:r>
        <w:t>Indicando individualización de los 20 pallets, marcas de bultos, dimensiones de cajas y tarimas, peso neto total (6.400 kg), peso bruto total (6.800 kg) y volumen cúbico (21,0 m³). Presentación: Un (1) original firmado + tres (3) copias.</w:t>
        <w:br/>
      </w:r>
      <w:r>
        <w:rPr>
          <w:b/>
        </w:rPr>
        <w:t xml:space="preserve">3. Conocimiento de Embarque Marítimo (Bill of Lading - B/L): </w:t>
      </w:r>
      <w:r>
        <w:t>Juego completo de tres originales limpios a bordo ('Clean on Board' 3/3), emitidos a la orden del banco emisor Attijariwafa Bank con notificación al Comprador MSPI S.A.R.L., con expresa constancia de flete marítimo cancelado en origen ('Freight Prepaid') y puerto de descarga Casablanca. Presentación: Tres (3) originales negociables + tres (3) copias no negociables.</w:t>
        <w:br/>
      </w:r>
      <w:r>
        <w:rPr>
          <w:b/>
        </w:rPr>
        <w:t xml:space="preserve">4. Certificado de Origen Oficial: </w:t>
      </w:r>
      <w:r>
        <w:t>Emitido y certificado por la Cámara de Exportadores de la República Argentina (CERA), acreditando el origen argentino de las mercaderías manufacturadas. Presentación: Un (1) original + una (1) copia.</w:t>
        <w:br/>
      </w:r>
      <w:r>
        <w:rPr>
          <w:b/>
        </w:rPr>
        <w:t xml:space="preserve">5. Certificat de Conformité (CoC) - Programa VoC Marruecos: </w:t>
      </w:r>
      <w:r>
        <w:t>Emitido por un organismo internacional de inspección acreditado (SGS Argentina / Bureau Veritas) bajo el régimen 'Verification of Conformity' del Ministerio de Industria y Comercio de Marruecos y el Institut Marocain de Normalisation (IMANOR), certificando que los extintores cumplen la norma NM ISO 7165. Presentación: Un (1) original + una (1) copia.</w:t>
        <w:br/>
      </w:r>
      <w:r>
        <w:rPr>
          <w:b/>
        </w:rPr>
        <w:t xml:space="preserve">6. Certificado de Control de Calidad y Ensayo Hidrostático: </w:t>
      </w:r>
      <w:r>
        <w:t>Emitido por el Departamento de Calidad de MATAFUEGOS C.L. S.A., certificando que el 100% de los cilindros han superado la prueba hidrostática de 25 bar conforme a la Norma IRAM 3525. Presentación: Un (1) original.</w:t>
        <w:br/>
      </w:r>
      <w:r>
        <w:rPr>
          <w:b/>
        </w:rPr>
        <w:t xml:space="preserve">7. Certificado Fitosanitario Oficial de Tratamiento Térmico (NIMF 15): </w:t>
      </w:r>
      <w:r>
        <w:t>Emitido por el SENASA, acreditando que la madera de los 20 pallets ha sido sometida a tratamiento térmico y desinfección según estándares internacionales. Presentación: Un (1) original.</w:t>
        <w:br/>
      </w:r>
      <w:r>
        <w:rPr>
          <w:b/>
        </w:rPr>
        <w:t xml:space="preserve">8. Póliza o Certificado de Seguro de Transporte Marítimo: </w:t>
      </w:r>
      <w:r>
        <w:t>Emitida por la compañía aseguradora por USD 34.962,55 (110% CIF), con cláusula ICC 'A' Todo Riesgo, endosada en blanco o a favor del COMPRADOR. Presentación: Un (1) original + una (1) copia.</w:t>
      </w:r>
    </w:p>
    <w:p>
      <w:pPr>
        <w:keepNext/>
        <w:spacing w:before="240" w:after="80"/>
      </w:pPr>
      <w:r>
        <w:rPr>
          <w:rFonts w:ascii="Arial" w:hAnsi="Arial"/>
          <w:b/>
          <w:color w:val="963232"/>
          <w:sz w:val="22"/>
        </w:rPr>
        <w:t>CLÁUSULA SEXTA: GARANTÍAS DE CALIDAD, PLAZO Y CONDICIONES DE RECLAMO</w:t>
      </w:r>
    </w:p>
    <w:p>
      <w:pPr>
        <w:spacing w:after="120" w:line="276" w:lineRule="auto"/>
      </w:pPr>
      <w:r>
        <w:rPr>
          <w:b/>
        </w:rPr>
        <w:t>6.1. PLAZO DE GARANTÍA:</w:t>
        <w:br/>
      </w:r>
      <w:r>
        <w:t>El VENDEDOR otorga al COMPRADOR una garantía técnica de calidad y perfecto funcionamiento de los extintores por el término de veinticuatro (24) meses contados a partir de la fecha de emisión del Conocimiento de Embarque (B/L) o de dieciocho (18) meses contados desde la nacionalización y puesta en servicio en el mercado marroquí, lo que ocurra en primer término.</w:t>
      </w:r>
    </w:p>
    <w:p>
      <w:pPr>
        <w:spacing w:after="120" w:line="276" w:lineRule="auto"/>
      </w:pPr>
      <w:r>
        <w:rPr>
          <w:b/>
        </w:rPr>
        <w:t>6.2. ALCANCE Y COBERTURA DE LA GARANTÍA:</w:t>
        <w:br/>
      </w:r>
      <w:r>
        <w:t>La garantía cubre expresamente:</w:t>
        <w:br/>
        <w:t>a) Defectos de manufactura o fisuras en el cuerpo metálico de los cilindros y sus cordones de soldadura.</w:t>
        <w:br/>
        <w:t>b) Fugas de presión o pérdidas de estanqueidad originadas en el asiento de la válvula VM22 RO2 o roscas de conexión.</w:t>
        <w:br/>
        <w:t>c) Fallas mecánicas de disparo en la tobera o trabas no imputables al uso indebido.</w:t>
        <w:br/>
        <w:t>d) Descalibración de origen o defecto de lectura en el manómetro de control continuo.</w:t>
      </w:r>
    </w:p>
    <w:p>
      <w:pPr>
        <w:spacing w:after="120" w:line="276" w:lineRule="auto"/>
      </w:pPr>
      <w:r>
        <w:rPr>
          <w:b/>
        </w:rPr>
        <w:t>6.3. OBLIGACIÓN DE REPOSICIÓN Y REEMBOLSO:</w:t>
        <w:br/>
      </w:r>
      <w:r>
        <w:t>Ante la comprobación fehaciente de cualquier unidad que presente vicios de fábrica comprendidos en la garantía, el VENDEDOR se compromete a su elección a: (i) reponer sin costo adicional para el COMPRADOR las unidades defectuosas, enviándolas en el embarque subsiguiente en condición CIF Casablanca; o (ii) emitir en un plazo de quince (15) días corridos una nota de crédito o reembolso bancario por el valor CIF unitario (USD 15,89) de cada unidad afectada.</w:t>
      </w:r>
    </w:p>
    <w:p>
      <w:pPr>
        <w:spacing w:after="120" w:line="276" w:lineRule="auto"/>
      </w:pPr>
      <w:r>
        <w:rPr>
          <w:b/>
        </w:rPr>
        <w:t>6.4. EXCLUSIONES DE LA GARANTÍA:</w:t>
        <w:br/>
      </w:r>
      <w:r>
        <w:t>Quedan taxativamente excluidos de la cobertura de la garantía los deterioros atribuibles a: (i) caídas, golpes o impactos mecánicos ocurridos con posterioridad a la descarga en destino; (ii) almacenamiento a la intemperie bajo condiciones climáticas extremas o sustancias ácidas corrosivas; (iii) recarga, apertura o modificación del cilindro o la válvula por personal no autorizado; y (iv) violación o rotura del precinto plástico de seguridad.</w:t>
      </w:r>
    </w:p>
    <w:p>
      <w:pPr>
        <w:spacing w:after="160" w:line="276" w:lineRule="auto"/>
      </w:pPr>
      <w:r>
        <w:rPr>
          <w:b/>
        </w:rPr>
        <w:t>6.5. PROCEDIMIENTO Y PLAZOS PARA NOTIFICAR RECLAMOS:</w:t>
        <w:br/>
      </w:r>
      <w:r>
        <w:t>• Reclamos por Faltantes o Averías Visibles: El COMPRADOR deberá notificar por escrito al VENDEDOR todo faltante o daño exterior dentro de los treinta (30) días corridos contados desde la recepción efectiva del contenedor en sus depósitos de Casablanca, adjuntando fotografías, acta de inspección conjunta y registro del precinto aduanero.</w:t>
        <w:br/>
        <w:t>• Reclamos por Vicios Ocultos o Fallas Internas: Deberán comunicarse fehacientemente dentro de los quince (15) días corridos de su detección, acompañando informe técnico pericial suscrito por profesional idóneo.</w:t>
      </w:r>
    </w:p>
    <w:p>
      <w:pPr>
        <w:keepNext/>
        <w:spacing w:before="240" w:after="80"/>
      </w:pPr>
      <w:r>
        <w:rPr>
          <w:rFonts w:ascii="Arial" w:hAnsi="Arial"/>
          <w:b/>
          <w:color w:val="963232"/>
          <w:sz w:val="22"/>
        </w:rPr>
        <w:t>CLÁUSULA SÉPTIMA: LEGISLACIÓN APLICABLE Y JURISDICCIÓN DE FONDO</w:t>
      </w:r>
    </w:p>
    <w:p>
      <w:pPr>
        <w:spacing w:after="120" w:line="276" w:lineRule="auto"/>
      </w:pPr>
      <w:r>
        <w:rPr>
          <w:b/>
        </w:rPr>
        <w:t xml:space="preserve">7.1. RÉGIMEN JURÍDICO APLICABLE: </w:t>
      </w:r>
      <w:r>
        <w:t>El presente contrato de compraventa internacional se rige, interpreta y ejecuta en todos sus términos de conformidad con las disposiciones de la CONVENCIÓN DE LAS NACIONES UNIDAS SOBRE LOS CONTRATOS DE COMPRAVENTA INTERNACIONAL DE MERCADERÍAS (Convención de Viena de 1980 - CISG), incorporada al derecho interno argentino por Ley N° 22.765 y reconocida en el comercio internacional.</w:t>
      </w:r>
    </w:p>
    <w:p>
      <w:pPr>
        <w:spacing w:after="160" w:line="276" w:lineRule="auto"/>
      </w:pPr>
      <w:r>
        <w:rPr>
          <w:b/>
        </w:rPr>
        <w:t xml:space="preserve">7.2. APLICACIÓN SUPLETORIA Y PRINCIPIOS DE COMERCIO INTERNACIONAL: </w:t>
      </w:r>
      <w:r>
        <w:t>Para aquellas cuestiones no resueltas de modo expreso por la Convención de Viena de 1980 ni por las cláusulas del presente contrato, las partes acuerdan la aplicación subsidiaria de los PRINCIPIOS DE UNIDROIT SOBRE LOS CONTRATOS COMERCIALES INTERNACIONALES (versión 2016) y los principios generales de la Lex Mercatoria internacional basada en la buena fe negocial.</w:t>
      </w:r>
    </w:p>
    <w:p>
      <w:pPr>
        <w:keepNext/>
        <w:spacing w:before="240" w:after="80"/>
      </w:pPr>
      <w:r>
        <w:rPr>
          <w:rFonts w:ascii="Arial" w:hAnsi="Arial"/>
          <w:b/>
          <w:color w:val="963232"/>
          <w:sz w:val="22"/>
        </w:rPr>
        <w:t>CLÁUSULA OCTAVA: RESOLUCIÓN ESCALONADA DE CONTROVERSIAS Y ARBITRAJE INTERNACIONAL</w:t>
      </w:r>
    </w:p>
    <w:p>
      <w:pPr>
        <w:spacing w:after="120" w:line="276" w:lineRule="auto"/>
      </w:pPr>
      <w:r>
        <w:rPr>
          <w:b/>
        </w:rPr>
        <w:t>8.1. ETAPA DE NEGOCIACIÓN DIRECTA Y AMIGABLE:</w:t>
        <w:br/>
      </w:r>
      <w:r>
        <w:t>Toda desavenencia, controversia, reclamo o conflicto derivado de la interpretación, validez, cumplimiento o resolución del presente contrato será sometido en primera instancia a una instancia de negociación de buena fe y trato directo entre los representantes legales de ambas partes durante un plazo máximo de treinta (30) días corridos contados a partir de la notificación fehaciente por escrito cursada por la parte requirente.</w:t>
      </w:r>
    </w:p>
    <w:p>
      <w:pPr>
        <w:spacing w:after="120" w:line="276" w:lineRule="auto"/>
      </w:pPr>
      <w:r>
        <w:rPr>
          <w:b/>
        </w:rPr>
        <w:t>8.2. SUMISIÓN A ARBITRAJE COMERCIAL INTERNACIONAL (CCI):</w:t>
        <w:br/>
      </w:r>
      <w:r>
        <w:t>Si la controversia no hubiera podido ser resuelta amigablemente en el plazo de treinta días antedicho, las partes acuerdan de modo irrevocable someter el conflicto de manera definitiva y con exclusión de la justicia ordinaria a ARBITRAJE COMERCIAL INTERNACIONAL administrado por la CORTE INTERNACIONAL DE ARBITRAJE DE LA CÁMARA DE COMERCIO INTERNACIONAL (CCI), de conformidad con su Reglamento de Arbitraje vigente.</w:t>
      </w:r>
    </w:p>
    <w:p>
      <w:pPr>
        <w:spacing w:after="160" w:line="276" w:lineRule="auto"/>
      </w:pPr>
      <w:r>
        <w:rPr>
          <w:b/>
        </w:rPr>
        <w:t>8.3. CONDICIONES DEL PROCEDIMIENTO ARBITRAL:</w:t>
        <w:br/>
      </w:r>
      <w:r>
        <w:t>a) Sede Arbitral: La sede jurídica del arbitraje será la ciudad de GINEBRA, Confederación Suiza (plaza neutral de reconocido prestigio arbitral).</w:t>
        <w:br/>
        <w:t>b) Composición del Tribunal: El tribunal estará integrado por un (1) único árbitro designado de común acuerdo entre las partes dentro de los quince (15) días de iniciado el procedimiento. A falta de acuerdo, el árbitro único será designado directamente por la Corte Internacional de Arbitraje de la CCI.</w:t>
        <w:br/>
        <w:t>c) Idioma del Procedimiento: El idioma oficial en el cual se sustanciarán todas las audiencias, pruebas y laudos será el IDIOMA INGLÉS (con admisión de traducciones certificadas de documentos en español y francés).</w:t>
        <w:br/>
        <w:t>d) Eficacia Vinculante del Laudo: El laudo que dicte el árbitro será definitivo, final e inapelable para ambas partes, teniendo fuerza vinculante de cosa juzgada. Las partes se obligan a acatar y ejecutar el laudo en forma inmediata y renuncian a cualquier recurso de apelación o nulidad ordinaria.</w:t>
        <w:br/>
        <w:t>e) Ejecución Forzosa: El laudo podrá ser homologado y ejecutado en cualquier tribunal judicial con jurisdicción competente sobre las partes o sus bienes, en los términos previstos por la Convención sobre el Reconocimiento y la Ejecución de las Sentencias Arbitrales Extranjeras (Convención de Nueva York de 1958).</w:t>
      </w:r>
    </w:p>
    <w:p>
      <w:pPr>
        <w:keepNext/>
        <w:spacing w:before="240" w:after="80"/>
      </w:pPr>
      <w:r>
        <w:rPr>
          <w:rFonts w:ascii="Arial" w:hAnsi="Arial"/>
          <w:b/>
          <w:color w:val="963232"/>
          <w:sz w:val="22"/>
        </w:rPr>
        <w:t>CLÁUSULA NOVENA: DISPOSICIONES COMPLEMENTARIAS, INTEGRIDAD Y FIRMA DE LAS PARTES</w:t>
      </w:r>
    </w:p>
    <w:p>
      <w:pPr>
        <w:spacing w:after="120" w:line="276" w:lineRule="auto"/>
      </w:pPr>
      <w:r>
        <w:rPr>
          <w:b/>
        </w:rPr>
        <w:t xml:space="preserve">9.1. FUERZA MAYOR O FORTUITO: </w:t>
      </w:r>
      <w:r>
        <w:t>Ninguna de las partes incurrirá en responsabilidad por incumplimiento o demora en la ejecución de sus obligaciones si ello fuere consecuencia directa de un evento imprevisto e insuperable de Fuerza Mayor, tal como se define en la 'Cláusula de Fuerza Mayor de la CCI 2020' (guerras, bloqueos marítimos, pandemias, embargos gubernamentales, catástrofes naturales o paralización general de puertos). La parte afectada deberá notificar a la otra por escrito dentro de los cinco (5) días hábiles siguientes al acaecimiento del hecho, aportando la certificación de la Cámara de Comercio local.</w:t>
      </w:r>
    </w:p>
    <w:p>
      <w:pPr>
        <w:spacing w:after="120" w:line="276" w:lineRule="auto"/>
      </w:pPr>
      <w:r>
        <w:rPr>
          <w:b/>
        </w:rPr>
        <w:t xml:space="preserve">9.2. INTEGRIDAD Y MODIFICACIÓN CONTRACTUAL: </w:t>
      </w:r>
      <w:r>
        <w:t>El presente instrumento constituye el acuerdo íntegro, definitivo y exclusivo entre las partes respecto de la operación comercial aquí convenida, dejando sin efecto cualquier tratativa, intercambio de correos, cotización previa o factura proforma que no se encuentre expresamente ratificada en el presente.</w:t>
      </w:r>
    </w:p>
    <w:p>
      <w:pPr>
        <w:spacing w:after="280" w:line="276" w:lineRule="auto"/>
      </w:pPr>
      <w:r>
        <w:t>En prueba de plena conformidad con las estipulaciones precedentes, se firman dos (2) ejemplares originales de un mismo tenor y a un solo efecto, en idioma español con copia fiel traducida al idioma francés para los trámites aduaneros y bancarios pertinentes, en la fecha y lugar consignados en el encabezamiento.</w:t>
      </w: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896"/>
        <w:gridCol w:w="4896"/>
      </w:tblGrid>
      <w:tr>
        <w:tc>
          <w:tcPr>
            <w:tcW w:type="dxa" w:w="4752"/>
            <w:tcMar>
              <w:top w:w="140" w:type="dxa"/>
              <w:bottom w:w="140" w:type="dxa"/>
              <w:left w:w="100" w:type="dxa"/>
              <w:right w:w="100" w:type="dxa"/>
            </w:tcMar>
          </w:tcPr>
          <w:p>
            <w:pPr>
              <w:spacing w:after="40"/>
              <w:jc w:val="center"/>
            </w:pPr>
            <w:r>
              <w:rPr>
                <w:b/>
              </w:rPr>
              <w:t>_________________________________________</w:t>
              <w:br/>
            </w:r>
            <w:r>
              <w:rPr>
                <w:b/>
                <w:color w:val="003366"/>
              </w:rPr>
              <w:t>Por MATAFUEGOS C.L. S.A. (Vendedor)</w:t>
              <w:br/>
            </w:r>
            <w:r>
              <w:t>Ing. Santiago Greco</w:t>
              <w:br/>
              <w:t>Director General y Apoderado Legal</w:t>
              <w:br/>
              <w:t>C.U.I.T. 30-71458920-4</w:t>
              <w:br/>
              <w:t>Buenos Aires — República Argentina</w:t>
            </w:r>
          </w:p>
        </w:tc>
        <w:tc>
          <w:tcPr>
            <w:tcW w:type="dxa" w:w="4752"/>
            <w:tcMar>
              <w:top w:w="140" w:type="dxa"/>
              <w:bottom w:w="140" w:type="dxa"/>
              <w:left w:w="100" w:type="dxa"/>
              <w:right w:w="100" w:type="dxa"/>
            </w:tcMar>
          </w:tcPr>
          <w:p>
            <w:pPr>
              <w:spacing w:after="40"/>
              <w:jc w:val="center"/>
            </w:pPr>
            <w:r>
              <w:rPr>
                <w:b/>
              </w:rPr>
              <w:t>_________________________________________</w:t>
              <w:br/>
            </w:r>
            <w:r>
              <w:rPr>
                <w:b/>
                <w:color w:val="003366"/>
              </w:rPr>
              <w:t>Por MAGHREB SÉCURITÉ &amp; PROTECTION SARL</w:t>
              <w:br/>
            </w:r>
            <w:r>
              <w:t>M. Youssef El Mansouri</w:t>
              <w:br/>
              <w:t>Gérant Général (Presidente)</w:t>
              <w:br/>
              <w:t>RC Casablanca N° 218452 - IF 40285914</w:t>
              <w:br/>
              <w:t>Casablanca — Reino de Marruecos</w:t>
            </w:r>
          </w:p>
        </w:tc>
      </w:tr>
    </w:tbl>
    <w:p>
      <w:r>
        <w:br w:type="page"/>
      </w:r>
    </w:p>
    <w:p>
      <w:pPr>
        <w:keepNext/>
        <w:spacing w:before="240" w:after="80"/>
      </w:pPr>
      <w:r>
        <w:rPr>
          <w:rFonts w:ascii="Arial" w:hAnsi="Arial"/>
          <w:b/>
          <w:color w:val="003366"/>
          <w:sz w:val="25"/>
        </w:rPr>
        <w:t>III. ANEXO OPERATIVO: MATRIZ DE DOCUMENTACIÓN COMERCIAL Y ADUANERA</w:t>
      </w:r>
    </w:p>
    <w:p>
      <w:pPr>
        <w:spacing w:after="160" w:line="276" w:lineRule="auto"/>
      </w:pPr>
      <w:r>
        <w:t>A continuación se presenta el cuadro sinóptico de la documentación requerida para la materialización del despacho aduanero de exportación en Argentina, el cobro de la Carta de Crédito UCP 600 y la nacionalización definitiva en la Aduana de Casablanca:</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48"/>
        <w:gridCol w:w="2448"/>
        <w:gridCol w:w="2448"/>
        <w:gridCol w:w="2448"/>
      </w:tblGrid>
      <w:tr>
        <w:tc>
          <w:tcPr>
            <w:tcW w:type="dxa" w:w="2448"/>
            <w:shd w:fill="003366"/>
            <w:tcMar>
              <w:top w:w="100" w:type="dxa"/>
              <w:bottom w:w="100" w:type="dxa"/>
              <w:left w:w="100" w:type="dxa"/>
              <w:right w:w="100" w:type="dxa"/>
            </w:tcMar>
          </w:tcPr>
          <w:p>
            <w:pPr>
              <w:jc w:val="center"/>
            </w:pPr>
            <w:r>
              <w:rPr>
                <w:b/>
                <w:color w:val="FFFFFF"/>
                <w:sz w:val="18"/>
              </w:rPr>
              <w:t>Documento Exigible</w:t>
            </w:r>
          </w:p>
        </w:tc>
        <w:tc>
          <w:tcPr>
            <w:tcW w:type="dxa" w:w="2448"/>
            <w:shd w:fill="003366"/>
            <w:tcMar>
              <w:top w:w="100" w:type="dxa"/>
              <w:bottom w:w="100" w:type="dxa"/>
              <w:left w:w="100" w:type="dxa"/>
              <w:right w:w="100" w:type="dxa"/>
            </w:tcMar>
          </w:tcPr>
          <w:p>
            <w:pPr>
              <w:jc w:val="center"/>
            </w:pPr>
            <w:r>
              <w:rPr>
                <w:b/>
                <w:color w:val="FFFFFF"/>
                <w:sz w:val="18"/>
              </w:rPr>
              <w:t>Entidad Emisora</w:t>
            </w:r>
          </w:p>
        </w:tc>
        <w:tc>
          <w:tcPr>
            <w:tcW w:type="dxa" w:w="2448"/>
            <w:shd w:fill="003366"/>
            <w:tcMar>
              <w:top w:w="100" w:type="dxa"/>
              <w:bottom w:w="100" w:type="dxa"/>
              <w:left w:w="100" w:type="dxa"/>
              <w:right w:w="100" w:type="dxa"/>
            </w:tcMar>
          </w:tcPr>
          <w:p>
            <w:pPr>
              <w:jc w:val="center"/>
            </w:pPr>
            <w:r>
              <w:rPr>
                <w:b/>
                <w:color w:val="FFFFFF"/>
                <w:sz w:val="18"/>
              </w:rPr>
              <w:t>Originales / Copias</w:t>
            </w:r>
          </w:p>
        </w:tc>
        <w:tc>
          <w:tcPr>
            <w:tcW w:type="dxa" w:w="2448"/>
            <w:shd w:fill="003366"/>
            <w:tcMar>
              <w:top w:w="100" w:type="dxa"/>
              <w:bottom w:w="100" w:type="dxa"/>
              <w:left w:w="100" w:type="dxa"/>
              <w:right w:w="100" w:type="dxa"/>
            </w:tcMar>
          </w:tcPr>
          <w:p>
            <w:pPr>
              <w:jc w:val="center"/>
            </w:pPr>
            <w:r>
              <w:rPr>
                <w:b/>
                <w:color w:val="FFFFFF"/>
                <w:sz w:val="18"/>
              </w:rPr>
              <w:t>Finalidad Operativa en Comex</w:t>
            </w:r>
          </w:p>
        </w:tc>
      </w:tr>
      <w:tr>
        <w:tc>
          <w:tcPr>
            <w:tcW w:type="dxa" w:w="2592"/>
            <w:shd w:fill="FFFFFF"/>
            <w:tcMar>
              <w:top w:w="70" w:type="dxa"/>
              <w:bottom w:w="70" w:type="dxa"/>
              <w:left w:w="90" w:type="dxa"/>
              <w:right w:w="90" w:type="dxa"/>
            </w:tcMar>
          </w:tcPr>
          <w:p>
            <w:pPr>
              <w:spacing w:before="0" w:after="0"/>
            </w:pPr>
            <w:r>
              <w:rPr>
                <w:b/>
                <w:color w:val="003366"/>
                <w:sz w:val="17"/>
              </w:rPr>
              <w:t>Factura Comercial Electrónica (Clase 'E')</w:t>
            </w:r>
          </w:p>
        </w:tc>
        <w:tc>
          <w:tcPr>
            <w:tcW w:type="dxa" w:w="2160"/>
            <w:shd w:fill="FFFFFF"/>
            <w:tcMar>
              <w:top w:w="70" w:type="dxa"/>
              <w:bottom w:w="70" w:type="dxa"/>
              <w:left w:w="90" w:type="dxa"/>
              <w:right w:w="90" w:type="dxa"/>
            </w:tcMar>
          </w:tcPr>
          <w:p>
            <w:pPr>
              <w:spacing w:before="0" w:after="0"/>
            </w:pPr>
            <w:r>
              <w:rPr>
                <w:sz w:val="17"/>
              </w:rPr>
              <w:t>MATAFUEGOS C.L. S.A. vía Sistema ARCA</w:t>
            </w:r>
          </w:p>
        </w:tc>
        <w:tc>
          <w:tcPr>
            <w:tcW w:type="dxa" w:w="1728"/>
            <w:shd w:fill="FFFFFF"/>
            <w:tcMar>
              <w:top w:w="70" w:type="dxa"/>
              <w:bottom w:w="70" w:type="dxa"/>
              <w:left w:w="90" w:type="dxa"/>
              <w:right w:w="90" w:type="dxa"/>
            </w:tcMar>
          </w:tcPr>
          <w:p>
            <w:pPr>
              <w:spacing w:before="0" w:after="0"/>
            </w:pPr>
            <w:r>
              <w:rPr>
                <w:sz w:val="17"/>
              </w:rPr>
              <w:t>1 Original + 3 Copias</w:t>
            </w:r>
          </w:p>
        </w:tc>
        <w:tc>
          <w:tcPr>
            <w:tcW w:type="dxa" w:w="3024"/>
            <w:shd w:fill="FFFFFF"/>
            <w:tcMar>
              <w:top w:w="70" w:type="dxa"/>
              <w:bottom w:w="70" w:type="dxa"/>
              <w:left w:w="90" w:type="dxa"/>
              <w:right w:w="90" w:type="dxa"/>
            </w:tcMar>
          </w:tcPr>
          <w:p>
            <w:pPr>
              <w:spacing w:before="0" w:after="0"/>
            </w:pPr>
            <w:r>
              <w:rPr>
                <w:sz w:val="17"/>
              </w:rPr>
              <w:t>Acredita el valor de transacción CIF (USD 31.784,14), descripción técnica y base tributaria.</w:t>
            </w:r>
          </w:p>
        </w:tc>
      </w:tr>
      <w:tr>
        <w:tc>
          <w:tcPr>
            <w:tcW w:type="dxa" w:w="2592"/>
            <w:shd w:fill="F8FAFC"/>
            <w:tcMar>
              <w:top w:w="70" w:type="dxa"/>
              <w:bottom w:w="70" w:type="dxa"/>
              <w:left w:w="90" w:type="dxa"/>
              <w:right w:w="90" w:type="dxa"/>
            </w:tcMar>
          </w:tcPr>
          <w:p>
            <w:pPr>
              <w:spacing w:before="0" w:after="0"/>
            </w:pPr>
            <w:r>
              <w:rPr>
                <w:b/>
                <w:color w:val="003366"/>
                <w:sz w:val="17"/>
              </w:rPr>
              <w:t>Lista de Empaque (Packing List)</w:t>
            </w:r>
          </w:p>
        </w:tc>
        <w:tc>
          <w:tcPr>
            <w:tcW w:type="dxa" w:w="2160"/>
            <w:shd w:fill="F8FAFC"/>
            <w:tcMar>
              <w:top w:w="70" w:type="dxa"/>
              <w:bottom w:w="70" w:type="dxa"/>
              <w:left w:w="90" w:type="dxa"/>
              <w:right w:w="90" w:type="dxa"/>
            </w:tcMar>
          </w:tcPr>
          <w:p>
            <w:pPr>
              <w:spacing w:before="0" w:after="0"/>
            </w:pPr>
            <w:r>
              <w:rPr>
                <w:sz w:val="17"/>
              </w:rPr>
              <w:t>MATAFUEGOS C.L. S.A. (Dpto. Logística)</w:t>
            </w:r>
          </w:p>
        </w:tc>
        <w:tc>
          <w:tcPr>
            <w:tcW w:type="dxa" w:w="1728"/>
            <w:shd w:fill="F8FAFC"/>
            <w:tcMar>
              <w:top w:w="70" w:type="dxa"/>
              <w:bottom w:w="70" w:type="dxa"/>
              <w:left w:w="90" w:type="dxa"/>
              <w:right w:w="90" w:type="dxa"/>
            </w:tcMar>
          </w:tcPr>
          <w:p>
            <w:pPr>
              <w:spacing w:before="0" w:after="0"/>
            </w:pPr>
            <w:r>
              <w:rPr>
                <w:sz w:val="17"/>
              </w:rPr>
              <w:t>1 Original + 3 Copias</w:t>
            </w:r>
          </w:p>
        </w:tc>
        <w:tc>
          <w:tcPr>
            <w:tcW w:type="dxa" w:w="3024"/>
            <w:shd w:fill="F8FAFC"/>
            <w:tcMar>
              <w:top w:w="70" w:type="dxa"/>
              <w:bottom w:w="70" w:type="dxa"/>
              <w:left w:w="90" w:type="dxa"/>
              <w:right w:w="90" w:type="dxa"/>
            </w:tcMar>
          </w:tcPr>
          <w:p>
            <w:pPr>
              <w:spacing w:before="0" w:after="0"/>
            </w:pPr>
            <w:r>
              <w:rPr>
                <w:sz w:val="17"/>
              </w:rPr>
              <w:t>Individualiza los 20 pallets, pesos netos (6.400 kg), brutos (6.800 kg) y volumen para estiba.</w:t>
            </w:r>
          </w:p>
        </w:tc>
      </w:tr>
      <w:tr>
        <w:tc>
          <w:tcPr>
            <w:tcW w:type="dxa" w:w="2592"/>
            <w:shd w:fill="FFFFFF"/>
            <w:tcMar>
              <w:top w:w="70" w:type="dxa"/>
              <w:bottom w:w="70" w:type="dxa"/>
              <w:left w:w="90" w:type="dxa"/>
              <w:right w:w="90" w:type="dxa"/>
            </w:tcMar>
          </w:tcPr>
          <w:p>
            <w:pPr>
              <w:spacing w:before="0" w:after="0"/>
            </w:pPr>
            <w:r>
              <w:rPr>
                <w:b/>
                <w:color w:val="003366"/>
                <w:sz w:val="17"/>
              </w:rPr>
              <w:t>Conocimiento de Embarque (Bill of Lading - B/L)</w:t>
            </w:r>
          </w:p>
        </w:tc>
        <w:tc>
          <w:tcPr>
            <w:tcW w:type="dxa" w:w="2160"/>
            <w:shd w:fill="FFFFFF"/>
            <w:tcMar>
              <w:top w:w="70" w:type="dxa"/>
              <w:bottom w:w="70" w:type="dxa"/>
              <w:left w:w="90" w:type="dxa"/>
              <w:right w:w="90" w:type="dxa"/>
            </w:tcMar>
          </w:tcPr>
          <w:p>
            <w:pPr>
              <w:spacing w:before="0" w:after="0"/>
            </w:pPr>
            <w:r>
              <w:rPr>
                <w:sz w:val="17"/>
              </w:rPr>
              <w:t>Línea Naviera Marítima Internacional</w:t>
            </w:r>
          </w:p>
        </w:tc>
        <w:tc>
          <w:tcPr>
            <w:tcW w:type="dxa" w:w="1728"/>
            <w:shd w:fill="FFFFFF"/>
            <w:tcMar>
              <w:top w:w="70" w:type="dxa"/>
              <w:bottom w:w="70" w:type="dxa"/>
              <w:left w:w="90" w:type="dxa"/>
              <w:right w:w="90" w:type="dxa"/>
            </w:tcMar>
          </w:tcPr>
          <w:p>
            <w:pPr>
              <w:spacing w:before="0" w:after="0"/>
            </w:pPr>
            <w:r>
              <w:rPr>
                <w:sz w:val="17"/>
              </w:rPr>
              <w:t>3 Originales + 3 Copias ('Clean on Board')</w:t>
            </w:r>
          </w:p>
        </w:tc>
        <w:tc>
          <w:tcPr>
            <w:tcW w:type="dxa" w:w="3024"/>
            <w:shd w:fill="FFFFFF"/>
            <w:tcMar>
              <w:top w:w="70" w:type="dxa"/>
              <w:bottom w:w="70" w:type="dxa"/>
              <w:left w:w="90" w:type="dxa"/>
              <w:right w:w="90" w:type="dxa"/>
            </w:tcMar>
          </w:tcPr>
          <w:p>
            <w:pPr>
              <w:spacing w:before="0" w:after="0"/>
            </w:pPr>
            <w:r>
              <w:rPr>
                <w:sz w:val="17"/>
              </w:rPr>
              <w:t>Título de propiedad negociable de la carga a bordo con leyenda 'Freight Prepaid' a Casablanca.</w:t>
            </w:r>
          </w:p>
        </w:tc>
      </w:tr>
      <w:tr>
        <w:tc>
          <w:tcPr>
            <w:tcW w:type="dxa" w:w="2592"/>
            <w:shd w:fill="F8FAFC"/>
            <w:tcMar>
              <w:top w:w="70" w:type="dxa"/>
              <w:bottom w:w="70" w:type="dxa"/>
              <w:left w:w="90" w:type="dxa"/>
              <w:right w:w="90" w:type="dxa"/>
            </w:tcMar>
          </w:tcPr>
          <w:p>
            <w:pPr>
              <w:spacing w:before="0" w:after="0"/>
            </w:pPr>
            <w:r>
              <w:rPr>
                <w:b/>
                <w:color w:val="003366"/>
                <w:sz w:val="17"/>
              </w:rPr>
              <w:t>Certificado de Origen CERA</w:t>
            </w:r>
          </w:p>
        </w:tc>
        <w:tc>
          <w:tcPr>
            <w:tcW w:type="dxa" w:w="2160"/>
            <w:shd w:fill="F8FAFC"/>
            <w:tcMar>
              <w:top w:w="70" w:type="dxa"/>
              <w:bottom w:w="70" w:type="dxa"/>
              <w:left w:w="90" w:type="dxa"/>
              <w:right w:w="90" w:type="dxa"/>
            </w:tcMar>
          </w:tcPr>
          <w:p>
            <w:pPr>
              <w:spacing w:before="0" w:after="0"/>
            </w:pPr>
            <w:r>
              <w:rPr>
                <w:sz w:val="17"/>
              </w:rPr>
              <w:t>Cámara de Exportadores de la Rep. Argentina</w:t>
            </w:r>
          </w:p>
        </w:tc>
        <w:tc>
          <w:tcPr>
            <w:tcW w:type="dxa" w:w="1728"/>
            <w:shd w:fill="F8FAFC"/>
            <w:tcMar>
              <w:top w:w="70" w:type="dxa"/>
              <w:bottom w:w="70" w:type="dxa"/>
              <w:left w:w="90" w:type="dxa"/>
              <w:right w:w="90" w:type="dxa"/>
            </w:tcMar>
          </w:tcPr>
          <w:p>
            <w:pPr>
              <w:spacing w:before="0" w:after="0"/>
            </w:pPr>
            <w:r>
              <w:rPr>
                <w:sz w:val="17"/>
              </w:rPr>
              <w:t>1 Original + 1 Copia</w:t>
            </w:r>
          </w:p>
        </w:tc>
        <w:tc>
          <w:tcPr>
            <w:tcW w:type="dxa" w:w="3024"/>
            <w:shd w:fill="F8FAFC"/>
            <w:tcMar>
              <w:top w:w="70" w:type="dxa"/>
              <w:bottom w:w="70" w:type="dxa"/>
              <w:left w:w="90" w:type="dxa"/>
              <w:right w:w="90" w:type="dxa"/>
            </w:tcMar>
          </w:tcPr>
          <w:p>
            <w:pPr>
              <w:spacing w:before="0" w:after="0"/>
            </w:pPr>
            <w:r>
              <w:rPr>
                <w:sz w:val="17"/>
              </w:rPr>
              <w:t>Certifica origen 100% argentino para la aplicación arancelaria y fiscal en Aduana de destino.</w:t>
            </w:r>
          </w:p>
        </w:tc>
      </w:tr>
      <w:tr>
        <w:tc>
          <w:tcPr>
            <w:tcW w:type="dxa" w:w="2592"/>
            <w:shd w:fill="FFFFFF"/>
            <w:tcMar>
              <w:top w:w="70" w:type="dxa"/>
              <w:bottom w:w="70" w:type="dxa"/>
              <w:left w:w="90" w:type="dxa"/>
              <w:right w:w="90" w:type="dxa"/>
            </w:tcMar>
          </w:tcPr>
          <w:p>
            <w:pPr>
              <w:spacing w:before="0" w:after="0"/>
            </w:pPr>
            <w:r>
              <w:rPr>
                <w:b/>
                <w:color w:val="003366"/>
                <w:sz w:val="17"/>
              </w:rPr>
              <w:t>Certificat de Conformité (CoC) IMANOR</w:t>
            </w:r>
          </w:p>
        </w:tc>
        <w:tc>
          <w:tcPr>
            <w:tcW w:type="dxa" w:w="2160"/>
            <w:shd w:fill="FFFFFF"/>
            <w:tcMar>
              <w:top w:w="70" w:type="dxa"/>
              <w:bottom w:w="70" w:type="dxa"/>
              <w:left w:w="90" w:type="dxa"/>
              <w:right w:w="90" w:type="dxa"/>
            </w:tcMar>
          </w:tcPr>
          <w:p>
            <w:pPr>
              <w:spacing w:before="0" w:after="0"/>
            </w:pPr>
            <w:r>
              <w:rPr>
                <w:sz w:val="17"/>
              </w:rPr>
              <w:t>SGS Argentina / Bureau Veritas</w:t>
            </w:r>
          </w:p>
        </w:tc>
        <w:tc>
          <w:tcPr>
            <w:tcW w:type="dxa" w:w="1728"/>
            <w:shd w:fill="FFFFFF"/>
            <w:tcMar>
              <w:top w:w="70" w:type="dxa"/>
              <w:bottom w:w="70" w:type="dxa"/>
              <w:left w:w="90" w:type="dxa"/>
              <w:right w:w="90" w:type="dxa"/>
            </w:tcMar>
          </w:tcPr>
          <w:p>
            <w:pPr>
              <w:spacing w:before="0" w:after="0"/>
            </w:pPr>
            <w:r>
              <w:rPr>
                <w:sz w:val="17"/>
              </w:rPr>
              <w:t>1 Original + 1 Copia</w:t>
            </w:r>
          </w:p>
        </w:tc>
        <w:tc>
          <w:tcPr>
            <w:tcW w:type="dxa" w:w="3024"/>
            <w:shd w:fill="FFFFFF"/>
            <w:tcMar>
              <w:top w:w="70" w:type="dxa"/>
              <w:bottom w:w="70" w:type="dxa"/>
              <w:left w:w="90" w:type="dxa"/>
              <w:right w:w="90" w:type="dxa"/>
            </w:tcMar>
          </w:tcPr>
          <w:p>
            <w:pPr>
              <w:spacing w:before="0" w:after="0"/>
            </w:pPr>
            <w:r>
              <w:rPr>
                <w:sz w:val="17"/>
              </w:rPr>
              <w:t>Exigencia obligatoria del Programa VoC de Marruecos para liberar extintores bajo NM ISO 7165.</w:t>
            </w:r>
          </w:p>
        </w:tc>
      </w:tr>
      <w:tr>
        <w:tc>
          <w:tcPr>
            <w:tcW w:type="dxa" w:w="2592"/>
            <w:shd w:fill="F8FAFC"/>
            <w:tcMar>
              <w:top w:w="70" w:type="dxa"/>
              <w:bottom w:w="70" w:type="dxa"/>
              <w:left w:w="90" w:type="dxa"/>
              <w:right w:w="90" w:type="dxa"/>
            </w:tcMar>
          </w:tcPr>
          <w:p>
            <w:pPr>
              <w:spacing w:before="0" w:after="0"/>
            </w:pPr>
            <w:r>
              <w:rPr>
                <w:b/>
                <w:color w:val="003366"/>
                <w:sz w:val="17"/>
              </w:rPr>
              <w:t>Certificado de Calidad e Hidrostática</w:t>
            </w:r>
          </w:p>
        </w:tc>
        <w:tc>
          <w:tcPr>
            <w:tcW w:type="dxa" w:w="2160"/>
            <w:shd w:fill="F8FAFC"/>
            <w:tcMar>
              <w:top w:w="70" w:type="dxa"/>
              <w:bottom w:w="70" w:type="dxa"/>
              <w:left w:w="90" w:type="dxa"/>
              <w:right w:w="90" w:type="dxa"/>
            </w:tcMar>
          </w:tcPr>
          <w:p>
            <w:pPr>
              <w:spacing w:before="0" w:after="0"/>
            </w:pPr>
            <w:r>
              <w:rPr>
                <w:sz w:val="17"/>
              </w:rPr>
              <w:t>Dpto. Calidad MATAFUEGOS C.L. S.A.</w:t>
            </w:r>
          </w:p>
        </w:tc>
        <w:tc>
          <w:tcPr>
            <w:tcW w:type="dxa" w:w="1728"/>
            <w:shd w:fill="F8FAFC"/>
            <w:tcMar>
              <w:top w:w="70" w:type="dxa"/>
              <w:bottom w:w="70" w:type="dxa"/>
              <w:left w:w="90" w:type="dxa"/>
              <w:right w:w="90" w:type="dxa"/>
            </w:tcMar>
          </w:tcPr>
          <w:p>
            <w:pPr>
              <w:spacing w:before="0" w:after="0"/>
            </w:pPr>
            <w:r>
              <w:rPr>
                <w:sz w:val="17"/>
              </w:rPr>
              <w:t>1 Original</w:t>
            </w:r>
          </w:p>
        </w:tc>
        <w:tc>
          <w:tcPr>
            <w:tcW w:type="dxa" w:w="3024"/>
            <w:shd w:fill="F8FAFC"/>
            <w:tcMar>
              <w:top w:w="70" w:type="dxa"/>
              <w:bottom w:w="70" w:type="dxa"/>
              <w:left w:w="90" w:type="dxa"/>
              <w:right w:w="90" w:type="dxa"/>
            </w:tcMar>
          </w:tcPr>
          <w:p>
            <w:pPr>
              <w:spacing w:before="0" w:after="0"/>
            </w:pPr>
            <w:r>
              <w:rPr>
                <w:sz w:val="17"/>
              </w:rPr>
              <w:t>Certifica ensayo hidrostático a 25 bar de fábrica según Norma IRAM 3525.</w:t>
            </w:r>
          </w:p>
        </w:tc>
      </w:tr>
      <w:tr>
        <w:tc>
          <w:tcPr>
            <w:tcW w:type="dxa" w:w="2592"/>
            <w:shd w:fill="FFFFFF"/>
            <w:tcMar>
              <w:top w:w="70" w:type="dxa"/>
              <w:bottom w:w="70" w:type="dxa"/>
              <w:left w:w="90" w:type="dxa"/>
              <w:right w:w="90" w:type="dxa"/>
            </w:tcMar>
          </w:tcPr>
          <w:p>
            <w:pPr>
              <w:spacing w:before="0" w:after="0"/>
            </w:pPr>
            <w:r>
              <w:rPr>
                <w:b/>
                <w:color w:val="003366"/>
                <w:sz w:val="17"/>
              </w:rPr>
              <w:t>Certificado Fitosanitario NIMF 15</w:t>
            </w:r>
          </w:p>
        </w:tc>
        <w:tc>
          <w:tcPr>
            <w:tcW w:type="dxa" w:w="2160"/>
            <w:shd w:fill="FFFFFF"/>
            <w:tcMar>
              <w:top w:w="70" w:type="dxa"/>
              <w:bottom w:w="70" w:type="dxa"/>
              <w:left w:w="90" w:type="dxa"/>
              <w:right w:w="90" w:type="dxa"/>
            </w:tcMar>
          </w:tcPr>
          <w:p>
            <w:pPr>
              <w:spacing w:before="0" w:after="0"/>
            </w:pPr>
            <w:r>
              <w:rPr>
                <w:sz w:val="17"/>
              </w:rPr>
              <w:t>SENASA (Servicio Nacional de Sanidad)</w:t>
            </w:r>
          </w:p>
        </w:tc>
        <w:tc>
          <w:tcPr>
            <w:tcW w:type="dxa" w:w="1728"/>
            <w:shd w:fill="FFFFFF"/>
            <w:tcMar>
              <w:top w:w="70" w:type="dxa"/>
              <w:bottom w:w="70" w:type="dxa"/>
              <w:left w:w="90" w:type="dxa"/>
              <w:right w:w="90" w:type="dxa"/>
            </w:tcMar>
          </w:tcPr>
          <w:p>
            <w:pPr>
              <w:spacing w:before="0" w:after="0"/>
            </w:pPr>
            <w:r>
              <w:rPr>
                <w:sz w:val="17"/>
              </w:rPr>
              <w:t>1 Original</w:t>
            </w:r>
          </w:p>
        </w:tc>
        <w:tc>
          <w:tcPr>
            <w:tcW w:type="dxa" w:w="3024"/>
            <w:shd w:fill="FFFFFF"/>
            <w:tcMar>
              <w:top w:w="70" w:type="dxa"/>
              <w:bottom w:w="70" w:type="dxa"/>
              <w:left w:w="90" w:type="dxa"/>
              <w:right w:w="90" w:type="dxa"/>
            </w:tcMar>
          </w:tcPr>
          <w:p>
            <w:pPr>
              <w:spacing w:before="0" w:after="0"/>
            </w:pPr>
            <w:r>
              <w:rPr>
                <w:sz w:val="17"/>
              </w:rPr>
              <w:t>Certifica tratamiento térmico oficial en madera de los pallets para barrera fitosanitaria.</w:t>
            </w:r>
          </w:p>
        </w:tc>
      </w:tr>
      <w:tr>
        <w:tc>
          <w:tcPr>
            <w:tcW w:type="dxa" w:w="2592"/>
            <w:shd w:fill="F8FAFC"/>
            <w:tcMar>
              <w:top w:w="70" w:type="dxa"/>
              <w:bottom w:w="70" w:type="dxa"/>
              <w:left w:w="90" w:type="dxa"/>
              <w:right w:w="90" w:type="dxa"/>
            </w:tcMar>
          </w:tcPr>
          <w:p>
            <w:pPr>
              <w:spacing w:before="0" w:after="0"/>
            </w:pPr>
            <w:r>
              <w:rPr>
                <w:b/>
                <w:color w:val="003366"/>
                <w:sz w:val="17"/>
              </w:rPr>
              <w:t>Póliza de Seguro Marítimo ICC 'A'</w:t>
            </w:r>
          </w:p>
        </w:tc>
        <w:tc>
          <w:tcPr>
            <w:tcW w:type="dxa" w:w="2160"/>
            <w:shd w:fill="F8FAFC"/>
            <w:tcMar>
              <w:top w:w="70" w:type="dxa"/>
              <w:bottom w:w="70" w:type="dxa"/>
              <w:left w:w="90" w:type="dxa"/>
              <w:right w:w="90" w:type="dxa"/>
            </w:tcMar>
          </w:tcPr>
          <w:p>
            <w:pPr>
              <w:spacing w:before="0" w:after="0"/>
            </w:pPr>
            <w:r>
              <w:rPr>
                <w:sz w:val="17"/>
              </w:rPr>
              <w:t>Compañía Aseguradora Internacional</w:t>
            </w:r>
          </w:p>
        </w:tc>
        <w:tc>
          <w:tcPr>
            <w:tcW w:type="dxa" w:w="1728"/>
            <w:shd w:fill="F8FAFC"/>
            <w:tcMar>
              <w:top w:w="70" w:type="dxa"/>
              <w:bottom w:w="70" w:type="dxa"/>
              <w:left w:w="90" w:type="dxa"/>
              <w:right w:w="90" w:type="dxa"/>
            </w:tcMar>
          </w:tcPr>
          <w:p>
            <w:pPr>
              <w:spacing w:before="0" w:after="0"/>
            </w:pPr>
            <w:r>
              <w:rPr>
                <w:sz w:val="17"/>
              </w:rPr>
              <w:t>1 Original + 1 Copia</w:t>
            </w:r>
          </w:p>
        </w:tc>
        <w:tc>
          <w:tcPr>
            <w:tcW w:type="dxa" w:w="3024"/>
            <w:shd w:fill="F8FAFC"/>
            <w:tcMar>
              <w:top w:w="70" w:type="dxa"/>
              <w:bottom w:w="70" w:type="dxa"/>
              <w:left w:w="90" w:type="dxa"/>
              <w:right w:w="90" w:type="dxa"/>
            </w:tcMar>
          </w:tcPr>
          <w:p>
            <w:pPr>
              <w:spacing w:before="0" w:after="0"/>
            </w:pPr>
            <w:r>
              <w:rPr>
                <w:sz w:val="17"/>
              </w:rPr>
              <w:t>Ampara todo riesgo del cargamento oceánico por el 110% del valor CIF (USD 34.962,55).</w:t>
            </w:r>
          </w:p>
        </w:tc>
      </w:tr>
    </w:tbl>
    <w:p>
      <w:r>
        <w:br w:type="page"/>
      </w:r>
    </w:p>
    <w:p>
      <w:pPr>
        <w:keepNext/>
        <w:spacing w:before="240" w:after="80"/>
      </w:pPr>
      <w:r>
        <w:rPr>
          <w:rFonts w:ascii="Arial" w:hAnsi="Arial"/>
          <w:b/>
          <w:color w:val="003366"/>
          <w:sz w:val="25"/>
        </w:rPr>
        <w:t>IV. FUNDAMENTACIÓN TÉCNICA, COMERCIAL Y ACADÉMICA DE LAS CLÁUSULAS</w:t>
      </w:r>
    </w:p>
    <w:p>
      <w:pPr>
        <w:spacing w:after="120" w:line="276" w:lineRule="auto"/>
      </w:pPr>
      <w:r>
        <w:rPr>
          <w:b/>
        </w:rPr>
        <w:t>1. Justificación de la Elección del Incoterm CIF Puerto de Casablanca:</w:t>
        <w:br/>
      </w:r>
      <w:r>
        <w:t>Se seleccionó la cláusula CIF (Incoterms® 2020) debido a que ofrece el equilibrio estratégico óptimo entre competitividad comercial y seguridad operativa. Al cotizar CIF, MATAFUEGOS C.L. S.A. toma el control de la contratación del flete marítimo (USD 1.950,00) y del seguro internacional (USD 110,00), lo que permite ofrecer una solución 'llave en mano' en el puerto del comprador marroquí, simplificándole la gestión de importación y asegurando un precio total altamente atractivo (USD 15,89/un). Al mismo tiempo, jurídicamente el riesgo se transfiere en el momento en que la carga cruza la borda y queda a bordo en el Puerto de Buenos Aires, quedando el Vendedor libre de responsabilidad por contingencias de la navegación marítima.</w:t>
      </w:r>
    </w:p>
    <w:p>
      <w:pPr>
        <w:spacing w:after="120" w:line="276" w:lineRule="auto"/>
      </w:pPr>
      <w:r>
        <w:rPr>
          <w:b/>
        </w:rPr>
        <w:t>2. Justificación del Medio de Cobro (Carta de Crédito Irrevocable y Confirmada):</w:t>
        <w:br/>
      </w:r>
      <w:r>
        <w:t>Al tratarse de una primera transacción de exportación hacia un mercado de ultramar cultural y geográficamente distante como el Reino de Marruecos, operar a cuenta abierta o mediante cobranza simple implicaría un riesgo financiero inaceptable para una empresa argentina. La Carta de Crédito irrevocable y confirmada a la vista (regida por las UCP 600 de la CCI) traslada el riesgo comercial del comprador al banco emisor (Attijariwafa Bank) y el riesgo soberano/país al Banco Santander Argentina en la plaza local. De esta forma, contra la entrega formal de los documentos de embarque, el exportador tiene garantizado el cobro en dólares, contando además con un instrumento bancario que sirve de garantía para acceder a líneas de prefinanciación bancaria local para financiar la fabricación del lote.</w:t>
      </w:r>
    </w:p>
    <w:p>
      <w:pPr>
        <w:spacing w:after="120" w:line="276" w:lineRule="auto"/>
      </w:pPr>
      <w:r>
        <w:rPr>
          <w:b/>
        </w:rPr>
        <w:t>3. Relevancia del Programa VoC (Verification of Conformity) de Marruecos:</w:t>
        <w:br/>
      </w:r>
      <w:r>
        <w:t>Marruecos impone por ley la fiscalización pre-embarque en origen de los productos industriales sujetos a homologación de seguridad contra incendios (Norma NM ISO 7165). La inclusión de la auditoría en planta argentina por parte de SGS o Bureau Veritas para la obtención del 'Certificat de Conformité' es una cláusula esencial sin la cual el cargamento quedaría automáticamente retenido o reexpedido en la Aduana de Casablanca, generando cuantiosos costos de almacenaje y estadía portuaria.</w:t>
      </w:r>
    </w:p>
    <w:p>
      <w:pPr>
        <w:spacing w:after="120" w:line="276" w:lineRule="auto"/>
      </w:pPr>
      <w:r>
        <w:rPr>
          <w:b/>
        </w:rPr>
        <w:t>4. Justificación de la Ley Aplicable y la Cláusula Arbitral CCI:</w:t>
        <w:br/>
      </w:r>
      <w:r>
        <w:t>La sumisión a la Convención de Viena de 1980 (CISG) garantiza un marco normativo sustantivo uniforme y neutral, evitando discrepancias entre el derecho civil argentino y el ordenamiento jurídico marroquí. Asimismo, la adopción del Arbitraje Comercial Internacional administrado por la Corte de Arbitraje de la CCI en Ginebra ofrece celeridad procesal, confidencialidad, jueces expertos en comercio exterior y, fundamentalmente, la ejecutabilidad universal inmediata del laudo bajo la Convención de Nueva York de 1958, evitando litigar ante tribunales estatales extranjeros con demoras de años.</w:t>
      </w:r>
    </w:p>
    <w:sectPr w:rsidR="00FC693F" w:rsidRPr="0006063C" w:rsidSect="00034616">
      <w:footerReference w:type="default" r:id="rId9"/>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UTN FRBA - Comercio Exterior | Contrato de Compraventa Internacional - Grupo Matafuegos CL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