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1084" w14:textId="77777777" w:rsidR="0042514A" w:rsidRPr="0042514A" w:rsidRDefault="0042514A" w:rsidP="0042514A">
      <w:pPr>
        <w:rPr>
          <w:b/>
          <w:bCs/>
        </w:rPr>
      </w:pPr>
      <w:r w:rsidRPr="0042514A">
        <w:rPr>
          <w:b/>
          <w:bCs/>
        </w:rPr>
        <w:t>Friction points</w:t>
      </w:r>
    </w:p>
    <w:p w14:paraId="6962485B" w14:textId="032231B3" w:rsidR="0042514A" w:rsidRPr="0042514A" w:rsidRDefault="0042514A" w:rsidP="0042514A">
      <w:r w:rsidRPr="0042514A">
        <w:t xml:space="preserve">The biggest challenge was aligning the product concept across </w:t>
      </w:r>
      <w:r w:rsidRPr="0042514A">
        <w:rPr>
          <w:i/>
          <w:iCs/>
        </w:rPr>
        <w:t>three layers</w:t>
      </w:r>
      <w:r w:rsidRPr="0042514A">
        <w:t xml:space="preserve"> that naturally pull in different directions: user research, discovery UX, and GTM positioning. At several points, the feature risked expanding beyond the scope of a simple curated rail</w:t>
      </w:r>
      <w:r>
        <w:t xml:space="preserve">, </w:t>
      </w:r>
      <w:r w:rsidRPr="0042514A">
        <w:t xml:space="preserve">especially when the instinct was to “fix the whole home screen.” Another friction point was creating a clean experiment design where attribution stayed intact; keeping the variant to </w:t>
      </w:r>
      <w:r w:rsidRPr="0042514A">
        <w:rPr>
          <w:i/>
          <w:iCs/>
        </w:rPr>
        <w:t>exactly one change</w:t>
      </w:r>
      <w:r w:rsidRPr="0042514A">
        <w:t xml:space="preserve"> required discipline and repeated stripping back. Lastly, translating the strategic goal into an awareness</w:t>
      </w:r>
      <w:r w:rsidRPr="0042514A">
        <w:noBreakHyphen/>
        <w:t>focused GTM plan surfaced a deeper challenge: most discovery features instinctively want to be judged on conversion, but that would have misread the problem entirely.</w:t>
      </w:r>
    </w:p>
    <w:p w14:paraId="697D06B9" w14:textId="77777777" w:rsidR="0042514A" w:rsidRPr="0042514A" w:rsidRDefault="0042514A" w:rsidP="0042514A">
      <w:pPr>
        <w:rPr>
          <w:b/>
          <w:bCs/>
        </w:rPr>
      </w:pPr>
      <w:r w:rsidRPr="0042514A">
        <w:rPr>
          <w:b/>
          <w:bCs/>
        </w:rPr>
        <w:t>Key learnings</w:t>
      </w:r>
    </w:p>
    <w:p w14:paraId="7C77CC6F" w14:textId="4A8B1D82" w:rsidR="0042514A" w:rsidRPr="0042514A" w:rsidRDefault="0042514A" w:rsidP="0042514A">
      <w:r w:rsidRPr="0042514A">
        <w:t xml:space="preserve">One of the biggest learnings was how tightly a PM needs to hold the persona’s moment of misery throughout the process. When the product drifts, the GTM becomes noisy; when the GTM drifts, the experiment stops matching the goal. Another insight: prioritization frameworks only work when the </w:t>
      </w:r>
      <w:r w:rsidRPr="0042514A">
        <w:rPr>
          <w:i/>
          <w:iCs/>
        </w:rPr>
        <w:t>value definition</w:t>
      </w:r>
      <w:r w:rsidRPr="0042514A">
        <w:t xml:space="preserve"> is sharp</w:t>
      </w:r>
      <w:r>
        <w:t xml:space="preserve">, </w:t>
      </w:r>
      <w:proofErr w:type="spellStart"/>
      <w:r w:rsidRPr="0042514A">
        <w:t>MoSCoW</w:t>
      </w:r>
      <w:proofErr w:type="spellEnd"/>
      <w:r w:rsidRPr="0042514A">
        <w:t xml:space="preserve"> is useless until the persona’s need is specific and real. I also learned how essential clear guardrails are; they prevent well</w:t>
      </w:r>
      <w:r w:rsidRPr="0042514A">
        <w:noBreakHyphen/>
        <w:t>intentioned features from accidentally harming core metrics like retention or session starts. And finally, the importance of single</w:t>
      </w:r>
      <w:r w:rsidRPr="0042514A">
        <w:noBreakHyphen/>
        <w:t xml:space="preserve">change variants: most product insights come from what you </w:t>
      </w:r>
      <w:r w:rsidRPr="0042514A">
        <w:rPr>
          <w:i/>
          <w:iCs/>
        </w:rPr>
        <w:t>don’t</w:t>
      </w:r>
      <w:r w:rsidRPr="0042514A">
        <w:t xml:space="preserve"> change.</w:t>
      </w:r>
    </w:p>
    <w:p w14:paraId="3723DAD4" w14:textId="77777777" w:rsidR="0042514A" w:rsidRPr="0042514A" w:rsidRDefault="0042514A" w:rsidP="0042514A">
      <w:pPr>
        <w:rPr>
          <w:b/>
          <w:bCs/>
        </w:rPr>
      </w:pPr>
      <w:r w:rsidRPr="0042514A">
        <w:rPr>
          <w:b/>
          <w:bCs/>
        </w:rPr>
        <w:t>Aha! moment</w:t>
      </w:r>
    </w:p>
    <w:p w14:paraId="758EBF65" w14:textId="1E832948" w:rsidR="0042514A" w:rsidRPr="0042514A" w:rsidRDefault="0042514A" w:rsidP="0042514A">
      <w:r w:rsidRPr="0042514A">
        <w:t xml:space="preserve">My main aha moment was realizing that the “why you will love this” line wasn’t </w:t>
      </w:r>
      <w:r>
        <w:t xml:space="preserve">a </w:t>
      </w:r>
      <w:r w:rsidRPr="0042514A">
        <w:t>decoration</w:t>
      </w:r>
      <w:r>
        <w:t>. I</w:t>
      </w:r>
      <w:r w:rsidRPr="0042514A">
        <w:t xml:space="preserve">t was the product. The clarity of that one sentence is what collapses the decision burden for the Explorer persona. Everything else in the Spotlight rail exists to support that moment of recognition. This shifted my understanding of discovery products: the strength of the </w:t>
      </w:r>
      <w:r w:rsidRPr="0042514A">
        <w:rPr>
          <w:i/>
          <w:iCs/>
        </w:rPr>
        <w:t>explanation</w:t>
      </w:r>
      <w:r w:rsidRPr="0042514A">
        <w:t xml:space="preserve"> often matters more than the strength of the algorithm. Once that clicked, the entire PRD, roadmap, and GTM became dramatically simpler and more coherent.</w:t>
      </w:r>
    </w:p>
    <w:p w14:paraId="44D7E990" w14:textId="77777777" w:rsidR="00C26EA3" w:rsidRDefault="00C26EA3"/>
    <w:sectPr w:rsidR="00C26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4A"/>
    <w:rsid w:val="0015252C"/>
    <w:rsid w:val="0042514A"/>
    <w:rsid w:val="00C04845"/>
    <w:rsid w:val="00C26EA3"/>
    <w:rsid w:val="00D13100"/>
    <w:rsid w:val="00F0145C"/>
    <w:rsid w:val="00F07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9F8B"/>
  <w15:chartTrackingRefBased/>
  <w15:docId w15:val="{88B37050-7BE9-4470-9091-06962F0C4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14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251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51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51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51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51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51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14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251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251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251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51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51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51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5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14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514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514A"/>
    <w:pPr>
      <w:spacing w:before="160"/>
      <w:jc w:val="center"/>
    </w:pPr>
    <w:rPr>
      <w:i/>
      <w:iCs/>
      <w:color w:val="404040" w:themeColor="text1" w:themeTint="BF"/>
    </w:rPr>
  </w:style>
  <w:style w:type="character" w:customStyle="1" w:styleId="QuoteChar">
    <w:name w:val="Quote Char"/>
    <w:basedOn w:val="DefaultParagraphFont"/>
    <w:link w:val="Quote"/>
    <w:uiPriority w:val="29"/>
    <w:rsid w:val="0042514A"/>
    <w:rPr>
      <w:i/>
      <w:iCs/>
      <w:color w:val="404040" w:themeColor="text1" w:themeTint="BF"/>
    </w:rPr>
  </w:style>
  <w:style w:type="paragraph" w:styleId="ListParagraph">
    <w:name w:val="List Paragraph"/>
    <w:basedOn w:val="Normal"/>
    <w:uiPriority w:val="34"/>
    <w:qFormat/>
    <w:rsid w:val="0042514A"/>
    <w:pPr>
      <w:ind w:left="720"/>
      <w:contextualSpacing/>
    </w:pPr>
  </w:style>
  <w:style w:type="character" w:styleId="IntenseEmphasis">
    <w:name w:val="Intense Emphasis"/>
    <w:basedOn w:val="DefaultParagraphFont"/>
    <w:uiPriority w:val="21"/>
    <w:qFormat/>
    <w:rsid w:val="0042514A"/>
    <w:rPr>
      <w:i/>
      <w:iCs/>
      <w:color w:val="0F4761" w:themeColor="accent1" w:themeShade="BF"/>
    </w:rPr>
  </w:style>
  <w:style w:type="paragraph" w:styleId="IntenseQuote">
    <w:name w:val="Intense Quote"/>
    <w:basedOn w:val="Normal"/>
    <w:next w:val="Normal"/>
    <w:link w:val="IntenseQuoteChar"/>
    <w:uiPriority w:val="30"/>
    <w:qFormat/>
    <w:rsid w:val="00425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14A"/>
    <w:rPr>
      <w:i/>
      <w:iCs/>
      <w:color w:val="0F4761" w:themeColor="accent1" w:themeShade="BF"/>
    </w:rPr>
  </w:style>
  <w:style w:type="character" w:styleId="IntenseReference">
    <w:name w:val="Intense Reference"/>
    <w:basedOn w:val="DefaultParagraphFont"/>
    <w:uiPriority w:val="32"/>
    <w:qFormat/>
    <w:rsid w:val="00425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293</Words>
  <Characters>1674</Characters>
  <Application>Microsoft Office Word</Application>
  <DocSecurity>0</DocSecurity>
  <Lines>13</Lines>
  <Paragraphs>3</Paragraphs>
  <ScaleCrop>false</ScaleCrop>
  <Company>Department of State</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Kalipatnapu, Santi</dc:creator>
  <cp:keywords/>
  <dc:description/>
  <cp:lastModifiedBy>Kalipatnapu, Santi</cp:lastModifiedBy>
  <cp:revision>1</cp:revision>
  <dcterms:created xsi:type="dcterms:W3CDTF">2026-08-20T15:11:00Z</dcterms:created>
  <dcterms:modified xsi:type="dcterms:W3CDTF">2026-08-20T15:13:00Z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2026-08-20T15:13:50Z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a25751dc-feea-4729-841f-26cbb72b1f21</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