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81D5C2" w14:textId="77777777" w:rsidR="00DA3008" w:rsidRPr="00DA3008" w:rsidRDefault="00DA3008" w:rsidP="00DA3008">
      <w:pPr>
        <w:rPr>
          <w:b/>
          <w:bCs/>
          <w:sz w:val="36"/>
          <w:szCs w:val="36"/>
        </w:rPr>
      </w:pPr>
      <w:r w:rsidRPr="00DA3008">
        <w:rPr>
          <w:b/>
          <w:bCs/>
          <w:sz w:val="36"/>
          <w:szCs w:val="36"/>
        </w:rPr>
        <w:t>Informe Técnico: FNBC y Desnormalización Controlada («</w:t>
      </w:r>
      <w:proofErr w:type="spellStart"/>
      <w:r w:rsidRPr="00DA3008">
        <w:rPr>
          <w:b/>
          <w:bCs/>
          <w:sz w:val="36"/>
          <w:szCs w:val="36"/>
        </w:rPr>
        <w:t>Food</w:t>
      </w:r>
      <w:proofErr w:type="spellEnd"/>
      <w:r w:rsidRPr="00DA3008">
        <w:rPr>
          <w:b/>
          <w:bCs/>
          <w:sz w:val="36"/>
          <w:szCs w:val="36"/>
        </w:rPr>
        <w:t xml:space="preserve"> Store»)</w:t>
      </w:r>
    </w:p>
    <w:p w14:paraId="580EF651" w14:textId="77777777" w:rsidR="00DA3008" w:rsidRPr="00DA3008" w:rsidRDefault="00DA3008" w:rsidP="00DA3008">
      <w:pPr>
        <w:rPr>
          <w:b/>
          <w:bCs/>
        </w:rPr>
      </w:pPr>
      <w:r w:rsidRPr="00DA3008">
        <w:rPr>
          <w:b/>
          <w:bCs/>
        </w:rPr>
        <w:t>Parte 1: Análisis y aplicación de la FNBC (</w:t>
      </w:r>
      <w:proofErr w:type="spellStart"/>
      <w:r w:rsidRPr="00DA3008">
        <w:rPr>
          <w:b/>
          <w:bCs/>
        </w:rPr>
        <w:t>ControlLoteAlmacen</w:t>
      </w:r>
      <w:proofErr w:type="spellEnd"/>
      <w:r w:rsidRPr="00DA3008">
        <w:rPr>
          <w:b/>
          <w:bCs/>
        </w:rPr>
        <w:t>)</w:t>
      </w:r>
    </w:p>
    <w:p w14:paraId="510C6A79" w14:textId="77777777" w:rsidR="00DA3008" w:rsidRPr="00DA3008" w:rsidRDefault="00DA3008" w:rsidP="00DA3008">
      <w:pPr>
        <w:rPr>
          <w:b/>
          <w:bCs/>
        </w:rPr>
      </w:pPr>
      <w:r w:rsidRPr="00DA3008">
        <w:rPr>
          <w:b/>
          <w:bCs/>
        </w:rPr>
        <w:t>a) Dependencias Funcionales (DF)</w:t>
      </w:r>
    </w:p>
    <w:p w14:paraId="645D971F" w14:textId="77777777" w:rsidR="00DA3008" w:rsidRPr="00DA3008" w:rsidRDefault="00DA3008" w:rsidP="00DA3008">
      <w:r w:rsidRPr="00DA3008">
        <w:t xml:space="preserve">A partir del relevamiento de la regla de negocio del área de logística, se identifican las siguientes dependencias funcionales formales: </w:t>
      </w:r>
    </w:p>
    <w:p w14:paraId="59205B60" w14:textId="77777777" w:rsidR="00DA3008" w:rsidRPr="00DA3008" w:rsidRDefault="00DA3008" w:rsidP="00DA3008">
      <w:pPr>
        <w:numPr>
          <w:ilvl w:val="0"/>
          <w:numId w:val="1"/>
        </w:numPr>
      </w:pPr>
      <w:r w:rsidRPr="00DA3008">
        <w:t xml:space="preserve">DF1: </w:t>
      </w:r>
      <w:proofErr w:type="spellStart"/>
      <w:r w:rsidRPr="00DA3008">
        <w:t>LoteID</w:t>
      </w:r>
      <w:proofErr w:type="spellEnd"/>
      <w:r w:rsidRPr="00DA3008">
        <w:t xml:space="preserve">, </w:t>
      </w:r>
      <w:proofErr w:type="spellStart"/>
      <w:r w:rsidRPr="00DA3008">
        <w:t>DepositoID</w:t>
      </w:r>
      <w:proofErr w:type="spellEnd"/>
      <w:r w:rsidRPr="00DA3008">
        <w:t xml:space="preserve"> -&gt; </w:t>
      </w:r>
      <w:proofErr w:type="spellStart"/>
      <w:r w:rsidRPr="00DA3008">
        <w:t>ResponsableControlID</w:t>
      </w:r>
      <w:proofErr w:type="spellEnd"/>
      <w:r w:rsidRPr="00DA3008">
        <w:t xml:space="preserve"> (Para un lote y un depósito dados, el responsable de control es único).</w:t>
      </w:r>
    </w:p>
    <w:p w14:paraId="1947BD18" w14:textId="3E98B62C" w:rsidR="00DA3008" w:rsidRPr="00DA3008" w:rsidRDefault="00DA3008" w:rsidP="00DA3008">
      <w:pPr>
        <w:numPr>
          <w:ilvl w:val="0"/>
          <w:numId w:val="1"/>
        </w:numPr>
      </w:pPr>
      <w:r w:rsidRPr="00DA3008">
        <w:t xml:space="preserve">DF2: </w:t>
      </w:r>
      <w:proofErr w:type="spellStart"/>
      <w:r w:rsidRPr="00DA3008">
        <w:t>ResponsableControlID</w:t>
      </w:r>
      <w:proofErr w:type="spellEnd"/>
      <w:r w:rsidRPr="00DA3008">
        <w:t xml:space="preserve"> -&gt; </w:t>
      </w:r>
      <w:proofErr w:type="spellStart"/>
      <w:r w:rsidRPr="00DA3008">
        <w:t>DepositoID</w:t>
      </w:r>
      <w:proofErr w:type="spellEnd"/>
      <w:r w:rsidRPr="00DA3008">
        <w:t xml:space="preserve"> (Cada responsable pertenece y controla desde un único depósito). </w:t>
      </w:r>
    </w:p>
    <w:p w14:paraId="702DF531" w14:textId="77777777" w:rsidR="00DA3008" w:rsidRPr="00DA3008" w:rsidRDefault="00DA3008" w:rsidP="00DA3008">
      <w:pPr>
        <w:rPr>
          <w:b/>
          <w:bCs/>
        </w:rPr>
      </w:pPr>
      <w:r w:rsidRPr="00DA3008">
        <w:rPr>
          <w:b/>
          <w:bCs/>
        </w:rPr>
        <w:t>b) Clausuras y Claves Candidatas</w:t>
      </w:r>
    </w:p>
    <w:p w14:paraId="12130BC8" w14:textId="77777777" w:rsidR="00DA3008" w:rsidRPr="00DA3008" w:rsidRDefault="00DA3008" w:rsidP="00DA3008">
      <w:pPr>
        <w:numPr>
          <w:ilvl w:val="0"/>
          <w:numId w:val="2"/>
        </w:numPr>
      </w:pPr>
      <w:r w:rsidRPr="00DA3008">
        <w:t>Clausura de {</w:t>
      </w:r>
      <w:proofErr w:type="spellStart"/>
      <w:r w:rsidRPr="00DA3008">
        <w:t>LoteID</w:t>
      </w:r>
      <w:proofErr w:type="spellEnd"/>
      <w:r w:rsidRPr="00DA3008">
        <w:t xml:space="preserve">, </w:t>
      </w:r>
      <w:proofErr w:type="spellStart"/>
      <w:r w:rsidRPr="00DA3008">
        <w:t>DepositoID</w:t>
      </w:r>
      <w:proofErr w:type="spellEnd"/>
      <w:r w:rsidRPr="00DA3008">
        <w:t>}+: {</w:t>
      </w:r>
      <w:proofErr w:type="spellStart"/>
      <w:r w:rsidRPr="00DA3008">
        <w:t>LoteID</w:t>
      </w:r>
      <w:proofErr w:type="spellEnd"/>
      <w:r w:rsidRPr="00DA3008">
        <w:t xml:space="preserve">, </w:t>
      </w:r>
      <w:proofErr w:type="spellStart"/>
      <w:r w:rsidRPr="00DA3008">
        <w:t>DepositoID</w:t>
      </w:r>
      <w:proofErr w:type="spellEnd"/>
      <w:r w:rsidRPr="00DA3008">
        <w:t xml:space="preserve">, </w:t>
      </w:r>
      <w:proofErr w:type="spellStart"/>
      <w:r w:rsidRPr="00DA3008">
        <w:t>ResponsableControlID</w:t>
      </w:r>
      <w:proofErr w:type="spellEnd"/>
      <w:r w:rsidRPr="00DA3008">
        <w:t>} =&gt; Es clave candidata.</w:t>
      </w:r>
    </w:p>
    <w:p w14:paraId="47D05F1F" w14:textId="1EA779CC" w:rsidR="00DA3008" w:rsidRPr="00DA3008" w:rsidRDefault="00DA3008" w:rsidP="00DA3008">
      <w:pPr>
        <w:numPr>
          <w:ilvl w:val="0"/>
          <w:numId w:val="2"/>
        </w:numPr>
      </w:pPr>
      <w:r w:rsidRPr="00DA3008">
        <w:t>Clausura de {</w:t>
      </w:r>
      <w:proofErr w:type="spellStart"/>
      <w:r w:rsidRPr="00DA3008">
        <w:t>LoteID</w:t>
      </w:r>
      <w:proofErr w:type="spellEnd"/>
      <w:r w:rsidRPr="00DA3008">
        <w:t xml:space="preserve">, </w:t>
      </w:r>
      <w:proofErr w:type="spellStart"/>
      <w:r w:rsidRPr="00DA3008">
        <w:t>ResponsableControlID</w:t>
      </w:r>
      <w:proofErr w:type="spellEnd"/>
      <w:r w:rsidRPr="00DA3008">
        <w:t>}+: {</w:t>
      </w:r>
      <w:proofErr w:type="spellStart"/>
      <w:r w:rsidRPr="00DA3008">
        <w:t>LoteID</w:t>
      </w:r>
      <w:proofErr w:type="spellEnd"/>
      <w:r w:rsidRPr="00DA3008">
        <w:t xml:space="preserve">, </w:t>
      </w:r>
      <w:proofErr w:type="spellStart"/>
      <w:r w:rsidRPr="00DA3008">
        <w:t>ResponsableControlID</w:t>
      </w:r>
      <w:proofErr w:type="spellEnd"/>
      <w:r w:rsidRPr="00DA3008">
        <w:t xml:space="preserve">, </w:t>
      </w:r>
      <w:proofErr w:type="spellStart"/>
      <w:r w:rsidRPr="00DA3008">
        <w:t>DepositoID</w:t>
      </w:r>
      <w:proofErr w:type="spellEnd"/>
      <w:r w:rsidRPr="00DA3008">
        <w:t>} (aplicando DF2) =&gt; Es clave candidata.</w:t>
      </w:r>
    </w:p>
    <w:p w14:paraId="5EDDD551" w14:textId="7FB7C368" w:rsidR="00DA3008" w:rsidRPr="00DA3008" w:rsidRDefault="00DA3008" w:rsidP="00DA3008">
      <w:pPr>
        <w:numPr>
          <w:ilvl w:val="0"/>
          <w:numId w:val="2"/>
        </w:numPr>
      </w:pPr>
      <w:r w:rsidRPr="00DA3008">
        <w:rPr>
          <w:b/>
          <w:bCs/>
        </w:rPr>
        <w:t>Atributos primos:</w:t>
      </w:r>
      <w:r w:rsidRPr="00DA3008">
        <w:t xml:space="preserve"> Todos los atributos del esquema (</w:t>
      </w:r>
      <w:proofErr w:type="spellStart"/>
      <w:r w:rsidRPr="00DA3008">
        <w:t>LoteID</w:t>
      </w:r>
      <w:proofErr w:type="spellEnd"/>
      <w:r w:rsidRPr="00DA3008">
        <w:t xml:space="preserve">, </w:t>
      </w:r>
      <w:proofErr w:type="spellStart"/>
      <w:r w:rsidRPr="00DA3008">
        <w:t>DepositoID</w:t>
      </w:r>
      <w:proofErr w:type="spellEnd"/>
      <w:r w:rsidRPr="00DA3008">
        <w:t xml:space="preserve">, </w:t>
      </w:r>
      <w:proofErr w:type="spellStart"/>
      <w:r w:rsidRPr="00DA3008">
        <w:t>ResponsableControlID</w:t>
      </w:r>
      <w:proofErr w:type="spellEnd"/>
      <w:r w:rsidRPr="00DA3008">
        <w:t xml:space="preserve">), ya que forman parte de al menos una clave candidata. No existen atributos no primos. </w:t>
      </w:r>
    </w:p>
    <w:p w14:paraId="7F4D6E4C" w14:textId="77777777" w:rsidR="00DA3008" w:rsidRPr="00DA3008" w:rsidRDefault="00DA3008" w:rsidP="00DA3008">
      <w:pPr>
        <w:rPr>
          <w:b/>
          <w:bCs/>
        </w:rPr>
      </w:pPr>
      <w:r w:rsidRPr="00DA3008">
        <w:rPr>
          <w:b/>
          <w:bCs/>
        </w:rPr>
        <w:t>c) Evaluación de la Forma Normal de Boyce-Codd (FNBC)</w:t>
      </w:r>
    </w:p>
    <w:p w14:paraId="272190C0" w14:textId="77777777" w:rsidR="00DA3008" w:rsidRDefault="00DA3008" w:rsidP="00DA3008">
      <w:r w:rsidRPr="00DA3008">
        <w:t xml:space="preserve">El esquema inicial no cumple con la FNBC. Si bien se encontraba admitido bajo la Tercera Forma Normal (3FN) por una excepción sobre atributos primos, la FNBC exige estrictamente que todo determinante sea una </w:t>
      </w:r>
      <w:proofErr w:type="spellStart"/>
      <w:r w:rsidRPr="00DA3008">
        <w:t>superclave</w:t>
      </w:r>
      <w:proofErr w:type="spellEnd"/>
      <w:r w:rsidRPr="00DA3008">
        <w:t>. En este caso, la dependencia DF2 (</w:t>
      </w:r>
      <w:proofErr w:type="spellStart"/>
      <w:r w:rsidRPr="00DA3008">
        <w:t>ResponsableControlID</w:t>
      </w:r>
      <w:proofErr w:type="spellEnd"/>
      <w:r w:rsidRPr="00DA3008">
        <w:t xml:space="preserve"> -&gt; </w:t>
      </w:r>
      <w:proofErr w:type="spellStart"/>
      <w:r w:rsidRPr="00DA3008">
        <w:t>DepositoID</w:t>
      </w:r>
      <w:proofErr w:type="spellEnd"/>
      <w:r w:rsidRPr="00DA3008">
        <w:t>) viola la FNBC dado que su determinante (</w:t>
      </w:r>
      <w:proofErr w:type="spellStart"/>
      <w:r w:rsidRPr="00DA3008">
        <w:t>ResponsableControlID</w:t>
      </w:r>
      <w:proofErr w:type="spellEnd"/>
      <w:r w:rsidRPr="00DA3008">
        <w:t xml:space="preserve">) no es una </w:t>
      </w:r>
      <w:proofErr w:type="spellStart"/>
      <w:r w:rsidRPr="00DA3008">
        <w:t>superclave</w:t>
      </w:r>
      <w:proofErr w:type="spellEnd"/>
      <w:r w:rsidRPr="00DA3008">
        <w:t xml:space="preserve"> del esquema (no permite identificar por sí solo el lote).</w:t>
      </w:r>
    </w:p>
    <w:p w14:paraId="3FC448DE" w14:textId="4563F7AD" w:rsidR="00DA3008" w:rsidRPr="00DA3008" w:rsidRDefault="00DA3008" w:rsidP="00DA3008">
      <w:pPr>
        <w:rPr>
          <w:b/>
          <w:bCs/>
        </w:rPr>
      </w:pPr>
      <w:r w:rsidRPr="00DA3008">
        <w:rPr>
          <w:b/>
          <w:bCs/>
        </w:rPr>
        <w:t>d) Anomalías en la instancia de ejemplo</w:t>
      </w:r>
    </w:p>
    <w:p w14:paraId="682C3E51" w14:textId="77777777" w:rsidR="00DA3008" w:rsidRPr="00DA3008" w:rsidRDefault="00DA3008" w:rsidP="00DA3008">
      <w:r w:rsidRPr="00DA3008">
        <w:t xml:space="preserve">Utilizando los datos provistos en el dominio, la violación detectada habilita las siguientes anomalías operativas: </w:t>
      </w:r>
    </w:p>
    <w:p w14:paraId="045FA92F" w14:textId="77777777" w:rsidR="00DA3008" w:rsidRPr="00DA3008" w:rsidRDefault="00DA3008" w:rsidP="00DA3008">
      <w:pPr>
        <w:numPr>
          <w:ilvl w:val="0"/>
          <w:numId w:val="3"/>
        </w:numPr>
      </w:pPr>
      <w:r w:rsidRPr="00DA3008">
        <w:rPr>
          <w:b/>
          <w:bCs/>
        </w:rPr>
        <w:t>Inserción:</w:t>
      </w:r>
      <w:r w:rsidRPr="00DA3008">
        <w:t xml:space="preserve"> No es posible registrar un nuevo responsable de control en el sistema (asociado a su respectivo depósito) si todavía no se le ha asignado ningún lote para controlar, debido a que </w:t>
      </w:r>
      <w:proofErr w:type="spellStart"/>
      <w:r w:rsidRPr="00DA3008">
        <w:t>lote_id</w:t>
      </w:r>
      <w:proofErr w:type="spellEnd"/>
      <w:r w:rsidRPr="00DA3008">
        <w:t xml:space="preserve"> forma parte de la clave primaria y no admite valores nulos. </w:t>
      </w:r>
    </w:p>
    <w:p w14:paraId="64EA17EF" w14:textId="77777777" w:rsidR="00DA3008" w:rsidRPr="00DA3008" w:rsidRDefault="00DA3008" w:rsidP="00DA3008">
      <w:pPr>
        <w:numPr>
          <w:ilvl w:val="0"/>
          <w:numId w:val="3"/>
        </w:numPr>
      </w:pPr>
      <w:r w:rsidRPr="00DA3008">
        <w:rPr>
          <w:b/>
          <w:bCs/>
        </w:rPr>
        <w:lastRenderedPageBreak/>
        <w:t>Borrado:</w:t>
      </w:r>
      <w:r w:rsidRPr="00DA3008">
        <w:t xml:space="preserve"> Si se elimina por completo el registro del lote 503, se pierde de forma accidental la información maestra de que el responsable 802 pertenece al depósito 31. </w:t>
      </w:r>
    </w:p>
    <w:p w14:paraId="03A51DF2" w14:textId="77777777" w:rsidR="00DA3008" w:rsidRPr="00DA3008" w:rsidRDefault="00DA3008" w:rsidP="00DA3008">
      <w:pPr>
        <w:numPr>
          <w:ilvl w:val="0"/>
          <w:numId w:val="3"/>
        </w:numPr>
      </w:pPr>
      <w:r w:rsidRPr="00DA3008">
        <w:rPr>
          <w:b/>
          <w:bCs/>
        </w:rPr>
        <w:t>Actualización:</w:t>
      </w:r>
      <w:r w:rsidRPr="00DA3008">
        <w:t xml:space="preserve"> Si el responsable 801 es trasladado a otro depósito, se deben actualizar manualmente múltiples filas (correspondientes a los lotes 501 y 502); olvidar alguna de ellas genera una inconsistencia grave en los datos. </w:t>
      </w:r>
    </w:p>
    <w:p w14:paraId="707A7287" w14:textId="77777777" w:rsidR="00DA3008" w:rsidRPr="00DA3008" w:rsidRDefault="00DA3008" w:rsidP="00DA3008">
      <w:pPr>
        <w:rPr>
          <w:b/>
          <w:bCs/>
        </w:rPr>
      </w:pPr>
      <w:proofErr w:type="spellStart"/>
      <w:r w:rsidRPr="00DA3008">
        <w:rPr>
          <w:b/>
          <w:bCs/>
        </w:rPr>
        <w:t>e</w:t>
      </w:r>
      <w:proofErr w:type="spellEnd"/>
      <w:r w:rsidRPr="00DA3008">
        <w:rPr>
          <w:b/>
          <w:bCs/>
        </w:rPr>
        <w:t xml:space="preserve"> y f) Descomposición sin pérdida y migración</w:t>
      </w:r>
    </w:p>
    <w:p w14:paraId="248885ED" w14:textId="77777777" w:rsidR="00DA3008" w:rsidRPr="00DA3008" w:rsidRDefault="00DA3008" w:rsidP="00DA3008">
      <w:r w:rsidRPr="00DA3008">
        <w:t xml:space="preserve">Aplicando el algoritmo de descomposición visto en clase (reflejado en el script </w:t>
      </w:r>
      <w:proofErr w:type="spellStart"/>
      <w:r w:rsidRPr="00DA3008">
        <w:t>tp_fnbc_control_lote.sql</w:t>
      </w:r>
      <w:proofErr w:type="spellEnd"/>
      <w:r w:rsidRPr="00DA3008">
        <w:t xml:space="preserve">), la relación se dividió en dos tablas independientes: </w:t>
      </w:r>
      <w:proofErr w:type="spellStart"/>
      <w:r w:rsidRPr="00DA3008">
        <w:t>responsable_deposito</w:t>
      </w:r>
      <w:proofErr w:type="spellEnd"/>
      <w:r w:rsidRPr="00DA3008">
        <w:t xml:space="preserve"> y </w:t>
      </w:r>
      <w:proofErr w:type="spellStart"/>
      <w:r w:rsidRPr="00DA3008">
        <w:t>lote_responsable</w:t>
      </w:r>
      <w:proofErr w:type="spellEnd"/>
      <w:r w:rsidRPr="00DA3008">
        <w:t xml:space="preserve">. </w:t>
      </w:r>
    </w:p>
    <w:p w14:paraId="2486A9B2" w14:textId="77777777" w:rsidR="00DA3008" w:rsidRPr="00DA3008" w:rsidRDefault="00DA3008" w:rsidP="00DA3008">
      <w:pPr>
        <w:numPr>
          <w:ilvl w:val="0"/>
          <w:numId w:val="4"/>
        </w:numPr>
      </w:pPr>
      <w:r w:rsidRPr="00DA3008">
        <w:rPr>
          <w:b/>
          <w:bCs/>
        </w:rPr>
        <w:t>Justificación de la unión sin pérdida:</w:t>
      </w:r>
      <w:r w:rsidRPr="00DA3008">
        <w:t xml:space="preserve"> La reunión natural (JOIN) entre ambas tablas es completamente sin pérdida de información porque el atributo común utilizado como vínculo (</w:t>
      </w:r>
      <w:proofErr w:type="spellStart"/>
      <w:r w:rsidRPr="00DA3008">
        <w:t>responsable_control_id</w:t>
      </w:r>
      <w:proofErr w:type="spellEnd"/>
      <w:r w:rsidRPr="00DA3008">
        <w:t xml:space="preserve">) actúa como </w:t>
      </w:r>
      <w:proofErr w:type="spellStart"/>
      <w:r w:rsidRPr="00DA3008">
        <w:t>superclave</w:t>
      </w:r>
      <w:proofErr w:type="spellEnd"/>
      <w:r w:rsidRPr="00DA3008">
        <w:t xml:space="preserve"> (</w:t>
      </w:r>
      <w:proofErr w:type="spellStart"/>
      <w:r w:rsidRPr="00DA3008">
        <w:t>Primary</w:t>
      </w:r>
      <w:proofErr w:type="spellEnd"/>
      <w:r w:rsidRPr="00DA3008">
        <w:t xml:space="preserve"> Key) en la tabla resultante de datos maestros </w:t>
      </w:r>
      <w:proofErr w:type="spellStart"/>
      <w:r w:rsidRPr="00DA3008">
        <w:t>responsable_deposito</w:t>
      </w:r>
      <w:proofErr w:type="spellEnd"/>
      <w:r w:rsidRPr="00DA3008">
        <w:t xml:space="preserve">. </w:t>
      </w:r>
    </w:p>
    <w:p w14:paraId="5D28C7E9" w14:textId="77777777" w:rsidR="00DA3008" w:rsidRPr="00DA3008" w:rsidRDefault="00DA3008" w:rsidP="00DA3008">
      <w:pPr>
        <w:rPr>
          <w:b/>
          <w:bCs/>
        </w:rPr>
      </w:pPr>
      <w:r w:rsidRPr="00DA3008">
        <w:rPr>
          <w:b/>
          <w:bCs/>
        </w:rPr>
        <w:t>Parte 2: Consulta con Desnormalización Controlada</w:t>
      </w:r>
    </w:p>
    <w:p w14:paraId="008A22F8" w14:textId="77777777" w:rsidR="00DA3008" w:rsidRPr="00DA3008" w:rsidRDefault="00DA3008" w:rsidP="00DA3008">
      <w:pPr>
        <w:rPr>
          <w:b/>
          <w:bCs/>
        </w:rPr>
      </w:pPr>
      <w:r w:rsidRPr="00DA3008">
        <w:rPr>
          <w:b/>
          <w:bCs/>
        </w:rPr>
        <w:t>a) EXPLAIN ANALYZE inicial (Antes de la optimización)</w:t>
      </w:r>
    </w:p>
    <w:p w14:paraId="4E6C3818" w14:textId="6CED4C42" w:rsidR="00DA3008" w:rsidRPr="00DA3008" w:rsidRDefault="00DA3008" w:rsidP="00DA3008">
      <w:r w:rsidRPr="00AB785E">
        <w:drawing>
          <wp:anchor distT="0" distB="0" distL="114300" distR="114300" simplePos="0" relativeHeight="251658240" behindDoc="0" locked="0" layoutInCell="1" allowOverlap="1" wp14:anchorId="7B7E6992" wp14:editId="625A815B">
            <wp:simplePos x="0" y="0"/>
            <wp:positionH relativeFrom="margin">
              <wp:align>left</wp:align>
            </wp:positionH>
            <wp:positionV relativeFrom="paragraph">
              <wp:posOffset>501015</wp:posOffset>
            </wp:positionV>
            <wp:extent cx="5400040" cy="3211195"/>
            <wp:effectExtent l="0" t="0" r="0" b="825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00040" cy="3211195"/>
                    </a:xfrm>
                    <a:prstGeom prst="rect">
                      <a:avLst/>
                    </a:prstGeom>
                  </pic:spPr>
                </pic:pic>
              </a:graphicData>
            </a:graphic>
            <wp14:sizeRelH relativeFrom="page">
              <wp14:pctWidth>0</wp14:pctWidth>
            </wp14:sizeRelH>
            <wp14:sizeRelV relativeFrom="page">
              <wp14:pctHeight>0</wp14:pctHeight>
            </wp14:sizeRelV>
          </wp:anchor>
        </w:drawing>
      </w:r>
      <w:r w:rsidRPr="00DA3008">
        <w:t xml:space="preserve">Se adjunta la captura de pantalla obtenida en </w:t>
      </w:r>
      <w:proofErr w:type="spellStart"/>
      <w:r w:rsidRPr="00DA3008">
        <w:t>pgAdmin</w:t>
      </w:r>
      <w:proofErr w:type="spellEnd"/>
      <w:r w:rsidRPr="00DA3008">
        <w:t xml:space="preserve"> ejecutando la consulta original pesada con múltiples uniones (</w:t>
      </w:r>
      <w:proofErr w:type="spellStart"/>
      <w:r w:rsidRPr="00DA3008">
        <w:t>JOINs</w:t>
      </w:r>
      <w:proofErr w:type="spellEnd"/>
      <w:r w:rsidRPr="00DA3008">
        <w:t xml:space="preserve">). </w:t>
      </w:r>
    </w:p>
    <w:p w14:paraId="21ADE935" w14:textId="254F43EB" w:rsidR="00DA3008" w:rsidRPr="00DA3008" w:rsidRDefault="00DA3008" w:rsidP="00DA3008">
      <w:pPr>
        <w:tabs>
          <w:tab w:val="num" w:pos="720"/>
        </w:tabs>
      </w:pPr>
      <w:r w:rsidRPr="00DA3008">
        <w:rPr>
          <w:b/>
          <w:bCs/>
        </w:rPr>
        <w:lastRenderedPageBreak/>
        <w:t>Diagnóstico:</w:t>
      </w:r>
      <w:r w:rsidRPr="00DA3008">
        <w:t xml:space="preserve"> El plan de ejecución muestra un costo elevado dominado por un escaneo secuencial (</w:t>
      </w:r>
      <w:proofErr w:type="spellStart"/>
      <w:r w:rsidRPr="00DA3008">
        <w:t>Seq</w:t>
      </w:r>
      <w:proofErr w:type="spellEnd"/>
      <w:r w:rsidRPr="00DA3008">
        <w:t xml:space="preserve"> </w:t>
      </w:r>
      <w:proofErr w:type="spellStart"/>
      <w:r w:rsidRPr="00DA3008">
        <w:t>Scan</w:t>
      </w:r>
      <w:proofErr w:type="spellEnd"/>
      <w:r w:rsidRPr="00DA3008">
        <w:t xml:space="preserve">) sobre la tabla transaccional y sucesivas uniones de tablas bajo alta exigencia. </w:t>
      </w:r>
    </w:p>
    <w:p w14:paraId="27D85F16" w14:textId="6262D415" w:rsidR="00DA3008" w:rsidRPr="00DA3008" w:rsidRDefault="00DA3008" w:rsidP="00DA3008">
      <w:pPr>
        <w:rPr>
          <w:b/>
          <w:bCs/>
        </w:rPr>
      </w:pPr>
      <w:r w:rsidRPr="00DA3008">
        <w:rPr>
          <w:b/>
          <w:bCs/>
        </w:rPr>
        <w:t>b) Elección del patrón de desnormalización</w:t>
      </w:r>
    </w:p>
    <w:p w14:paraId="32C497C0" w14:textId="48D0237A" w:rsidR="00DA3008" w:rsidRPr="00DA3008" w:rsidRDefault="00DA3008" w:rsidP="00DA3008">
      <w:r w:rsidRPr="00DA3008">
        <w:t xml:space="preserve">Se optó por implementar una </w:t>
      </w:r>
      <w:r w:rsidRPr="00DA3008">
        <w:rPr>
          <w:b/>
          <w:bCs/>
        </w:rPr>
        <w:t xml:space="preserve">columna </w:t>
      </w:r>
      <w:proofErr w:type="spellStart"/>
      <w:r w:rsidRPr="00DA3008">
        <w:rPr>
          <w:b/>
          <w:bCs/>
        </w:rPr>
        <w:t>precalculada</w:t>
      </w:r>
      <w:proofErr w:type="spellEnd"/>
      <w:r w:rsidRPr="00DA3008">
        <w:rPr>
          <w:b/>
          <w:bCs/>
        </w:rPr>
        <w:t xml:space="preserve"> sincronizada mediante un disparador transaccional (</w:t>
      </w:r>
      <w:proofErr w:type="spellStart"/>
      <w:r w:rsidRPr="00DA3008">
        <w:rPr>
          <w:b/>
          <w:bCs/>
        </w:rPr>
        <w:t>trigger</w:t>
      </w:r>
      <w:proofErr w:type="spellEnd"/>
      <w:r w:rsidRPr="00DA3008">
        <w:rPr>
          <w:b/>
          <w:bCs/>
        </w:rPr>
        <w:t>)</w:t>
      </w:r>
      <w:r w:rsidRPr="00DA3008">
        <w:t xml:space="preserve">. </w:t>
      </w:r>
    </w:p>
    <w:p w14:paraId="3AFE628A" w14:textId="4BA713E5" w:rsidR="00DA3008" w:rsidRPr="00DA3008" w:rsidRDefault="00DA3008" w:rsidP="00DA3008">
      <w:pPr>
        <w:numPr>
          <w:ilvl w:val="0"/>
          <w:numId w:val="6"/>
        </w:numPr>
      </w:pPr>
      <w:r w:rsidRPr="00DA3008">
        <w:rPr>
          <w:b/>
          <w:bCs/>
        </w:rPr>
        <w:t>Evidencia que lo motiva:</w:t>
      </w:r>
      <w:r w:rsidRPr="00DA3008">
        <w:t xml:space="preserve"> El alto costo computacional y el tiempo de respuesta del EXPLAIN ANALYZE inicial al cruzar cuatro tablas de gran volumen en tiempo real. </w:t>
      </w:r>
    </w:p>
    <w:p w14:paraId="4C170E0A" w14:textId="77777777" w:rsidR="00DA3008" w:rsidRPr="00DA3008" w:rsidRDefault="00DA3008" w:rsidP="00DA3008">
      <w:pPr>
        <w:numPr>
          <w:ilvl w:val="0"/>
          <w:numId w:val="6"/>
        </w:numPr>
      </w:pPr>
      <w:r w:rsidRPr="00DA3008">
        <w:rPr>
          <w:b/>
          <w:bCs/>
        </w:rPr>
        <w:t>Mecanismo de sincronización:</w:t>
      </w:r>
      <w:r w:rsidRPr="00DA3008">
        <w:t xml:space="preserve"> Un disparador transaccional en PL/</w:t>
      </w:r>
      <w:proofErr w:type="spellStart"/>
      <w:r w:rsidRPr="00DA3008">
        <w:t>pgSQL</w:t>
      </w:r>
      <w:proofErr w:type="spellEnd"/>
      <w:r w:rsidRPr="00DA3008">
        <w:t xml:space="preserve"> intercepta cada inserción, recalcula los montos y actualiza la tabla de resumen dentro de la misma transacción blindada, haciendo imposible el desfasaje. </w:t>
      </w:r>
    </w:p>
    <w:p w14:paraId="2B828188" w14:textId="63040DC2" w:rsidR="00DA3008" w:rsidRPr="00DA3008" w:rsidRDefault="00DA3008" w:rsidP="00DA3008">
      <w:pPr>
        <w:numPr>
          <w:ilvl w:val="0"/>
          <w:numId w:val="6"/>
        </w:numPr>
      </w:pPr>
      <w:r w:rsidRPr="00DA3008">
        <w:rPr>
          <w:b/>
          <w:bCs/>
        </w:rPr>
        <w:t>Reversibilidad:</w:t>
      </w:r>
      <w:r w:rsidRPr="00DA3008">
        <w:t xml:space="preserve"> Es totalmente reversible sin pérdida de información, ya que la fuente de verdad original (</w:t>
      </w:r>
      <w:proofErr w:type="spellStart"/>
      <w:r w:rsidRPr="00DA3008">
        <w:t>detalle_pedido</w:t>
      </w:r>
      <w:proofErr w:type="spellEnd"/>
      <w:r w:rsidRPr="00DA3008">
        <w:t xml:space="preserve"> y pedido) permanece intacta. </w:t>
      </w:r>
    </w:p>
    <w:p w14:paraId="48B00776" w14:textId="10F7D395" w:rsidR="00DA3008" w:rsidRPr="00DA3008" w:rsidRDefault="00DA3008" w:rsidP="00DA3008">
      <w:pPr>
        <w:rPr>
          <w:b/>
          <w:bCs/>
        </w:rPr>
      </w:pPr>
      <w:r w:rsidRPr="00DA3008">
        <w:rPr>
          <w:b/>
          <w:bCs/>
        </w:rPr>
        <w:t>c y d) EXPLAIN ANALYZE optimizado (Después de la desnormalización)</w:t>
      </w:r>
    </w:p>
    <w:p w14:paraId="5AED6B95" w14:textId="2AE337D7" w:rsidR="00DA3008" w:rsidRDefault="00DA3008" w:rsidP="00DA3008">
      <w:r w:rsidRPr="00DA3008">
        <w:t xml:space="preserve">Se adjunta la captura de pantalla obtenida ejecutando la consulta simplificada sobre la estructura desnormalizada </w:t>
      </w:r>
      <w:proofErr w:type="spellStart"/>
      <w:r w:rsidRPr="00DA3008">
        <w:t>reporte_diario_categoria</w:t>
      </w:r>
      <w:proofErr w:type="spellEnd"/>
      <w:r w:rsidRPr="00DA3008">
        <w:t xml:space="preserve">. </w:t>
      </w:r>
    </w:p>
    <w:p w14:paraId="57DD589A" w14:textId="3EF6E057" w:rsidR="00DA3008" w:rsidRPr="00DA3008" w:rsidRDefault="00DA3008" w:rsidP="00DA3008">
      <w:r>
        <w:rPr>
          <w:noProof/>
        </w:rPr>
        <w:drawing>
          <wp:inline distT="0" distB="0" distL="0" distR="0" wp14:anchorId="64A5A2BC" wp14:editId="3C36BEFB">
            <wp:extent cx="4479094" cy="26670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90677" cy="2673897"/>
                    </a:xfrm>
                    <a:prstGeom prst="rect">
                      <a:avLst/>
                    </a:prstGeom>
                    <a:noFill/>
                    <a:ln>
                      <a:noFill/>
                    </a:ln>
                  </pic:spPr>
                </pic:pic>
              </a:graphicData>
            </a:graphic>
          </wp:inline>
        </w:drawing>
      </w:r>
    </w:p>
    <w:p w14:paraId="2F85E6E0" w14:textId="77777777" w:rsidR="00DA3008" w:rsidRDefault="00DA3008" w:rsidP="00DA3008">
      <w:pPr>
        <w:rPr>
          <w:b/>
          <w:bCs/>
        </w:rPr>
      </w:pPr>
      <w:r w:rsidRPr="00DA3008">
        <w:rPr>
          <w:b/>
          <w:bCs/>
        </w:rPr>
        <w:t>e) Auditoría de sincronización</w:t>
      </w:r>
    </w:p>
    <w:p w14:paraId="380CFE93" w14:textId="003244AA" w:rsidR="00AF651B" w:rsidRDefault="00DA3008">
      <w:r w:rsidRPr="00DA3008">
        <w:t xml:space="preserve">Se ejecutó el script de auditoría programado para verificar la integridad del dato redundante, el cual arrojó un conjunto de resultados </w:t>
      </w:r>
      <w:r w:rsidRPr="00DA3008">
        <w:rPr>
          <w:b/>
          <w:bCs/>
        </w:rPr>
        <w:t>vacío</w:t>
      </w:r>
      <w:r w:rsidRPr="00DA3008">
        <w:t xml:space="preserve">, comprobando fehacientemente que el disparador mantiene la sincronización perfecta frente a la fuente de verdad. </w:t>
      </w:r>
    </w:p>
    <w:p w14:paraId="267036E3" w14:textId="3F693D2A" w:rsidR="003D2CB8" w:rsidRDefault="003D2CB8">
      <w:pPr>
        <w:rPr>
          <w:b/>
          <w:bCs/>
        </w:rPr>
      </w:pPr>
      <w:r w:rsidRPr="003D2CB8">
        <w:rPr>
          <w:b/>
          <w:bCs/>
        </w:rPr>
        <w:lastRenderedPageBreak/>
        <w:t>Repositorio de código fuente (GitHub):</w:t>
      </w:r>
    </w:p>
    <w:p w14:paraId="469D2D38" w14:textId="1E520FA9" w:rsidR="003D2CB8" w:rsidRPr="00DA3008" w:rsidRDefault="003D2CB8">
      <w:pPr>
        <w:rPr>
          <w:b/>
          <w:bCs/>
        </w:rPr>
      </w:pPr>
      <w:r w:rsidRPr="003D2CB8">
        <w:rPr>
          <w:b/>
          <w:bCs/>
        </w:rPr>
        <w:t>https://github.com/santinodallatorre2501-bit/Resolucion-TPUnidad4.git</w:t>
      </w:r>
    </w:p>
    <w:sectPr w:rsidR="003D2CB8" w:rsidRPr="00DA300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30654F"/>
    <w:multiLevelType w:val="multilevel"/>
    <w:tmpl w:val="C196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CD35F1"/>
    <w:multiLevelType w:val="multilevel"/>
    <w:tmpl w:val="24D8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1343B5"/>
    <w:multiLevelType w:val="multilevel"/>
    <w:tmpl w:val="641A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684E83"/>
    <w:multiLevelType w:val="multilevel"/>
    <w:tmpl w:val="6FD0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F70B50"/>
    <w:multiLevelType w:val="multilevel"/>
    <w:tmpl w:val="6778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F55C65"/>
    <w:multiLevelType w:val="multilevel"/>
    <w:tmpl w:val="9046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5625661">
    <w:abstractNumId w:val="4"/>
  </w:num>
  <w:num w:numId="2" w16cid:durableId="171916740">
    <w:abstractNumId w:val="5"/>
  </w:num>
  <w:num w:numId="3" w16cid:durableId="122306823">
    <w:abstractNumId w:val="1"/>
  </w:num>
  <w:num w:numId="4" w16cid:durableId="486824501">
    <w:abstractNumId w:val="3"/>
  </w:num>
  <w:num w:numId="5" w16cid:durableId="1425345178">
    <w:abstractNumId w:val="0"/>
  </w:num>
  <w:num w:numId="6" w16cid:durableId="17253717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85E"/>
    <w:rsid w:val="003D2CB8"/>
    <w:rsid w:val="00697AB2"/>
    <w:rsid w:val="00AB785E"/>
    <w:rsid w:val="00AF651B"/>
    <w:rsid w:val="00D3005E"/>
    <w:rsid w:val="00D61C30"/>
    <w:rsid w:val="00DA300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FEABB"/>
  <w15:chartTrackingRefBased/>
  <w15:docId w15:val="{759A673B-7F09-41E7-A23C-57C825D58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B78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78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78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78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78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78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78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78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78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785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785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785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785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785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78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78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78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785E"/>
    <w:rPr>
      <w:rFonts w:eastAsiaTheme="majorEastAsia" w:cstheme="majorBidi"/>
      <w:color w:val="272727" w:themeColor="text1" w:themeTint="D8"/>
    </w:rPr>
  </w:style>
  <w:style w:type="paragraph" w:styleId="Ttulo">
    <w:name w:val="Title"/>
    <w:basedOn w:val="Normal"/>
    <w:next w:val="Normal"/>
    <w:link w:val="TtuloCar"/>
    <w:uiPriority w:val="10"/>
    <w:qFormat/>
    <w:rsid w:val="00AB78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78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785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78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785E"/>
    <w:pPr>
      <w:spacing w:before="160"/>
      <w:jc w:val="center"/>
    </w:pPr>
    <w:rPr>
      <w:i/>
      <w:iCs/>
      <w:color w:val="404040" w:themeColor="text1" w:themeTint="BF"/>
    </w:rPr>
  </w:style>
  <w:style w:type="character" w:customStyle="1" w:styleId="CitaCar">
    <w:name w:val="Cita Car"/>
    <w:basedOn w:val="Fuentedeprrafopredeter"/>
    <w:link w:val="Cita"/>
    <w:uiPriority w:val="29"/>
    <w:rsid w:val="00AB785E"/>
    <w:rPr>
      <w:i/>
      <w:iCs/>
      <w:color w:val="404040" w:themeColor="text1" w:themeTint="BF"/>
    </w:rPr>
  </w:style>
  <w:style w:type="paragraph" w:styleId="Prrafodelista">
    <w:name w:val="List Paragraph"/>
    <w:basedOn w:val="Normal"/>
    <w:uiPriority w:val="34"/>
    <w:qFormat/>
    <w:rsid w:val="00AB785E"/>
    <w:pPr>
      <w:ind w:left="720"/>
      <w:contextualSpacing/>
    </w:pPr>
  </w:style>
  <w:style w:type="character" w:styleId="nfasisintenso">
    <w:name w:val="Intense Emphasis"/>
    <w:basedOn w:val="Fuentedeprrafopredeter"/>
    <w:uiPriority w:val="21"/>
    <w:qFormat/>
    <w:rsid w:val="00AB785E"/>
    <w:rPr>
      <w:i/>
      <w:iCs/>
      <w:color w:val="0F4761" w:themeColor="accent1" w:themeShade="BF"/>
    </w:rPr>
  </w:style>
  <w:style w:type="paragraph" w:styleId="Citadestacada">
    <w:name w:val="Intense Quote"/>
    <w:basedOn w:val="Normal"/>
    <w:next w:val="Normal"/>
    <w:link w:val="CitadestacadaCar"/>
    <w:uiPriority w:val="30"/>
    <w:qFormat/>
    <w:rsid w:val="00AB78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785E"/>
    <w:rPr>
      <w:i/>
      <w:iCs/>
      <w:color w:val="0F4761" w:themeColor="accent1" w:themeShade="BF"/>
    </w:rPr>
  </w:style>
  <w:style w:type="character" w:styleId="Referenciaintensa">
    <w:name w:val="Intense Reference"/>
    <w:basedOn w:val="Fuentedeprrafopredeter"/>
    <w:uiPriority w:val="32"/>
    <w:qFormat/>
    <w:rsid w:val="00AB78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125208">
      <w:bodyDiv w:val="1"/>
      <w:marLeft w:val="0"/>
      <w:marRight w:val="0"/>
      <w:marTop w:val="0"/>
      <w:marBottom w:val="0"/>
      <w:divBdr>
        <w:top w:val="none" w:sz="0" w:space="0" w:color="auto"/>
        <w:left w:val="none" w:sz="0" w:space="0" w:color="auto"/>
        <w:bottom w:val="none" w:sz="0" w:space="0" w:color="auto"/>
        <w:right w:val="none" w:sz="0" w:space="0" w:color="auto"/>
      </w:divBdr>
    </w:div>
    <w:div w:id="636379504">
      <w:bodyDiv w:val="1"/>
      <w:marLeft w:val="0"/>
      <w:marRight w:val="0"/>
      <w:marTop w:val="0"/>
      <w:marBottom w:val="0"/>
      <w:divBdr>
        <w:top w:val="none" w:sz="0" w:space="0" w:color="auto"/>
        <w:left w:val="none" w:sz="0" w:space="0" w:color="auto"/>
        <w:bottom w:val="none" w:sz="0" w:space="0" w:color="auto"/>
        <w:right w:val="none" w:sz="0" w:space="0" w:color="auto"/>
      </w:divBdr>
      <w:divsChild>
        <w:div w:id="2044666901">
          <w:blockQuote w:val="1"/>
          <w:marLeft w:val="0"/>
          <w:marRight w:val="0"/>
          <w:marTop w:val="0"/>
          <w:marBottom w:val="100"/>
          <w:divBdr>
            <w:top w:val="none" w:sz="0" w:space="0" w:color="auto"/>
            <w:left w:val="none" w:sz="0" w:space="0" w:color="auto"/>
            <w:bottom w:val="none" w:sz="0" w:space="0" w:color="auto"/>
            <w:right w:val="none" w:sz="0" w:space="0" w:color="auto"/>
          </w:divBdr>
        </w:div>
        <w:div w:id="1013996725">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682635254">
      <w:bodyDiv w:val="1"/>
      <w:marLeft w:val="0"/>
      <w:marRight w:val="0"/>
      <w:marTop w:val="0"/>
      <w:marBottom w:val="0"/>
      <w:divBdr>
        <w:top w:val="none" w:sz="0" w:space="0" w:color="auto"/>
        <w:left w:val="none" w:sz="0" w:space="0" w:color="auto"/>
        <w:bottom w:val="none" w:sz="0" w:space="0" w:color="auto"/>
        <w:right w:val="none" w:sz="0" w:space="0" w:color="auto"/>
      </w:divBdr>
      <w:divsChild>
        <w:div w:id="441657008">
          <w:blockQuote w:val="1"/>
          <w:marLeft w:val="0"/>
          <w:marRight w:val="0"/>
          <w:marTop w:val="0"/>
          <w:marBottom w:val="100"/>
          <w:divBdr>
            <w:top w:val="none" w:sz="0" w:space="0" w:color="auto"/>
            <w:left w:val="none" w:sz="0" w:space="0" w:color="auto"/>
            <w:bottom w:val="none" w:sz="0" w:space="0" w:color="auto"/>
            <w:right w:val="none" w:sz="0" w:space="0" w:color="auto"/>
          </w:divBdr>
        </w:div>
        <w:div w:id="49621670">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695889615">
      <w:bodyDiv w:val="1"/>
      <w:marLeft w:val="0"/>
      <w:marRight w:val="0"/>
      <w:marTop w:val="0"/>
      <w:marBottom w:val="0"/>
      <w:divBdr>
        <w:top w:val="none" w:sz="0" w:space="0" w:color="auto"/>
        <w:left w:val="none" w:sz="0" w:space="0" w:color="auto"/>
        <w:bottom w:val="none" w:sz="0" w:space="0" w:color="auto"/>
        <w:right w:val="none" w:sz="0" w:space="0" w:color="auto"/>
      </w:divBdr>
    </w:div>
    <w:div w:id="1109470439">
      <w:bodyDiv w:val="1"/>
      <w:marLeft w:val="0"/>
      <w:marRight w:val="0"/>
      <w:marTop w:val="0"/>
      <w:marBottom w:val="0"/>
      <w:divBdr>
        <w:top w:val="none" w:sz="0" w:space="0" w:color="auto"/>
        <w:left w:val="none" w:sz="0" w:space="0" w:color="auto"/>
        <w:bottom w:val="none" w:sz="0" w:space="0" w:color="auto"/>
        <w:right w:val="none" w:sz="0" w:space="0" w:color="auto"/>
      </w:divBdr>
    </w:div>
    <w:div w:id="1451588149">
      <w:bodyDiv w:val="1"/>
      <w:marLeft w:val="0"/>
      <w:marRight w:val="0"/>
      <w:marTop w:val="0"/>
      <w:marBottom w:val="0"/>
      <w:divBdr>
        <w:top w:val="none" w:sz="0" w:space="0" w:color="auto"/>
        <w:left w:val="none" w:sz="0" w:space="0" w:color="auto"/>
        <w:bottom w:val="none" w:sz="0" w:space="0" w:color="auto"/>
        <w:right w:val="none" w:sz="0" w:space="0" w:color="auto"/>
      </w:divBdr>
    </w:div>
    <w:div w:id="1715616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696</Words>
  <Characters>3832</Characters>
  <Application>Microsoft Office Word</Application>
  <DocSecurity>0</DocSecurity>
  <Lines>31</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Santino Dalla Torre</dc:creator>
  <cp:keywords/>
  <dc:description/>
  <cp:lastModifiedBy>Santino Dalla Torre</cp:lastModifiedBy>
  <cp:revision>2</cp:revision>
  <dcterms:created xsi:type="dcterms:W3CDTF">2026-10-08T04:03:00Z</dcterms:created>
  <dcterms:modified xsi:type="dcterms:W3CDTF">2026-10-08T04:51:00Z</dcterms:modified>
</cp:coreProperties>
</file>