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Pendiente</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r>
              <w:t xml:space="preserve"/>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r>
              <w:t xml:space="preserve"/>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
            </w: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sus listas static en memoria, delega la escritura en pControladora y recién después actualiza la caché.</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r>
              <w:t xml:space="preserve"/>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r>
              <w:t xml:space="preserve"/>
            </w: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r>
              <w:t xml:space="preserve"/>
            </w: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r>
              <w:t xml:space="preserve"/>
            </w: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r>
              <w:t xml:space="preserve"/>
            </w: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r>
              <w:t xml:space="preserve"/>
            </w: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r>
              <w:t xml:space="preserve"/>
            </w: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r>
              <w:t xml:space="preserve"/>
            </w: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r>
              <w:t xml:space="preserve"/>
            </w: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
            </w: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r>
              <w:t xml:space="preserve"/>
            </w: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r>
              <w:t xml:space="preserve"/>
            </w: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r>
              <w:t xml:space="preserve"/>
            </w: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r>
              <w:t xml:space="preserve"/>
            </w: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2.4  Manual de Usuario</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2.5  Deployment</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2.6  Política de Seguridad y Respaldos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2.7  Plan de contingencia</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spacing w:after="120"/>
      </w:pPr>
      <w:r>
        <w:rPr>
          <w:b w:val="false"/>
          <w:bCs w:val="false"/>
          <w:i/>
          <w:iCs/>
          <w:color w:val="595959"/>
          <w:sz w:val="20"/>
          <w:szCs w:val="20"/>
        </w:rPr>
        <w:t xml:space="preserve">Pendiente.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