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atras.png"/>
                    <pic:cNvPicPr/>
                  </pic:nvPicPr>
                  <pic:blipFill>
                    <a:blip r:embed="rId189"/>
                    <a:stretch>
                      <a:fillRect/>
                    </a:stretch>
                  </pic:blipFill>
                  <pic:spPr>
                    <a:xfrm>
                      <a:off x="0" y="0"/>
                      <a:ext cx="5760000" cy="3856500"/>
                    </a:xfrm>
                    <a:prstGeom prst="rect"/>
                  </pic:spPr>
                </pic:pic>
              </a:graphicData>
            </a:graphic>
          </wp:inline>
        </w:drawing>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90"/>
                    <a:stretch>
                      <a:fillRect/>
                    </a:stretch>
                  </pic:blipFill>
                  <pic:spPr>
                    <a:xfrm>
                      <a:off x="0" y="0"/>
                      <a:ext cx="5760000" cy="3793500"/>
                    </a:xfrm>
                    <a:prstGeom prst="rect"/>
                  </pic:spPr>
                </pic:pic>
              </a:graphicData>
            </a:graphic>
          </wp:inline>
        </w:drawing>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jc w:val="center"/>
      </w:pPr>
    </w:p>
    <w:p>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jc w:val="center"/>
      </w:pPr>
    </w:p>
    <w:p>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r>
        <w:drawing>
          <wp:inline xmlns:a="http://schemas.openxmlformats.org/drawingml/2006/main" xmlns:pic="http://schemas.openxmlformats.org/drawingml/2006/picture">
            <wp:extent cx="5760000" cy="429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1"/>
                    <a:stretch>
                      <a:fillRect/>
                    </a:stretch>
                  </pic:blipFill>
                  <pic:spPr>
                    <a:xfrm>
                      <a:off x="0" y="0"/>
                      <a:ext cx="5760000" cy="4293000"/>
                    </a:xfrm>
                    <a:prstGeom prst="rect"/>
                  </pic:spPr>
                </pic:pic>
              </a:graphicData>
            </a:graphic>
          </wp:inline>
        </w:drawing>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2"/>
                    <a:stretch>
                      <a:fillRect/>
                    </a:stretch>
                  </pic:blipFill>
                  <pic:spPr>
                    <a:xfrm>
                      <a:off x="0" y="0"/>
                      <a:ext cx="5760000" cy="4934865"/>
                    </a:xfrm>
                    <a:prstGeom prst="rect"/>
                  </pic:spPr>
                </pic:pic>
              </a:graphicData>
            </a:graphic>
          </wp:inline>
        </w:drawing>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3"/>
                    <a:stretch>
                      <a:fillRect/>
                    </a:stretch>
                  </pic:blipFill>
                  <pic:spPr>
                    <a:xfrm>
                      <a:off x="0" y="0"/>
                      <a:ext cx="5760000" cy="4630500"/>
                    </a:xfrm>
                    <a:prstGeom prst="rect"/>
                  </pic:spPr>
                </pic:pic>
              </a:graphicData>
            </a:graphic>
          </wp:inline>
        </w:drawing>
      </w:r>
    </w:p>
    <w:p>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4"/>
                    <a:stretch>
                      <a:fillRect/>
                    </a:stretch>
                  </pic:blipFill>
                  <pic:spPr>
                    <a:xfrm>
                      <a:off x="0" y="0"/>
                      <a:ext cx="5760000" cy="5386500"/>
                    </a:xfrm>
                    <a:prstGeom prst="rect"/>
                  </pic:spPr>
                </pic:pic>
              </a:graphicData>
            </a:graphic>
          </wp:inline>
        </w:drawing>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5"/>
                    <a:stretch>
                      <a:fillRect/>
                    </a:stretch>
                  </pic:blipFill>
                  <pic:spPr>
                    <a:xfrm>
                      <a:off x="0" y="0"/>
                      <a:ext cx="5760000" cy="3960000"/>
                    </a:xfrm>
                    <a:prstGeom prst="rect"/>
                  </pic:spPr>
                </pic:pic>
              </a:graphicData>
            </a:graphic>
          </wp:inline>
        </w:drawing>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6"/>
                    <a:stretch>
                      <a:fillRect/>
                    </a:stretch>
                  </pic:blipFill>
                  <pic:spPr>
                    <a:xfrm>
                      <a:off x="0" y="0"/>
                      <a:ext cx="5760000" cy="7973999"/>
                    </a:xfrm>
                    <a:prstGeom prst="rect"/>
                  </pic:spPr>
                </pic:pic>
              </a:graphicData>
            </a:graphic>
          </wp:inline>
        </w:drawing>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7"/>
                    <a:stretch>
                      <a:fillRect/>
                    </a:stretch>
                  </pic:blipFill>
                  <pic:spPr>
                    <a:xfrm>
                      <a:off x="0" y="0"/>
                      <a:ext cx="5760000" cy="4189499"/>
                    </a:xfrm>
                    <a:prstGeom prst="rect"/>
                  </pic:spPr>
                </pic:pic>
              </a:graphicData>
            </a:graphic>
          </wp:inline>
        </w:drawing>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8"/>
                    <a:stretch>
                      <a:fillRect/>
                    </a:stretch>
                  </pic:blipFill>
                  <pic:spPr>
                    <a:xfrm>
                      <a:off x="0" y="0"/>
                      <a:ext cx="5760000" cy="5670000"/>
                    </a:xfrm>
                    <a:prstGeom prst="rect"/>
                  </pic:spPr>
                </pic:pic>
              </a:graphicData>
            </a:graphic>
          </wp:inline>
        </w:drawing>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9"/>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200"/>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rPr>
                <w:b/>
              </w:rPr>
              <w:t xml:space="preserve">Sin ejecutar</w:t>
            </w:r>
            <w:r>
              <w:t xml:space="preserve">: el rodeo de prueba no tiene ninguna cadena de tres generaciones cargada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rPr>
                <w:b/>
              </w:rPr>
              <w:t xml:space="preserve">Sin ejecutar</w:t>
            </w:r>
            <w:r>
              <w:t xml:space="preserve">: por el mismo motivo. Es el caso que confirma el límite declarado en RF1.7</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jc w:val="center"/>
      </w:pPr>
      <w:r>
        <w:t xml:space="preserve">Figura. Alertas de parto después de ampliar *Parto próximo*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r>
        <w:drawing>
          <wp:inline xmlns:a="http://schemas.openxmlformats.org/drawingml/2006/main" xmlns:pic="http://schemas.openxmlformats.org/drawingml/2006/picture">
            <wp:extent cx="5760000" cy="6912897"/>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2897"/>
                    </a:xfrm>
                    <a:prstGeom prst="rect"/>
                  </pic:spPr>
                </pic:pic>
              </a:graphicData>
            </a:graphic>
          </wp:inline>
        </w:drawing>
      </w:r>
    </w:p>
    <w:p>
      <w:pPr>
        <w:jc w:val="center"/>
      </w:pPr>
      <w:r>
        <w:t xml:space="preserve">Figura. Búsqueda con dos filtros combinados —categoría *Vaca* y estado *Activos*—: el resultado son las vacas que integran hoy el rodeo.</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jc w:val="center"/>
      </w:pPr>
      <w:r>
        <w:t xml:space="preserve">Figura. Alta de animal. La madre y el padre se eligen con el botón *Buscar*,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jc w:val="center"/>
      </w:pPr>
      <w:r>
        <w:t xml:space="preserve">Figura. Al presionar *Calcular Categoría* el sistema propone **Vaca**,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jc w:val="center"/>
      </w:pPr>
      <w:r>
        <w:t xml:space="preserve">Figura. Advertencia de genealogía: la madre y el padre elegidos son parientes —él es su padre— y la cría nace consanguínea. El sistema no lo registra automáticamente, pero ofrece *Guardar de todos modos*: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r>
        <w:drawing>
          <wp:inline xmlns:a="http://schemas.openxmlformats.org/drawingml/2006/main" xmlns:pic="http://schemas.openxmlformats.org/drawingml/2006/picture">
            <wp:extent cx="5760000" cy="4365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4365000"/>
                    </a:xfrm>
                    <a:prstGeom prst="rect"/>
                  </pic:spPr>
                </pic:pic>
              </a:graphicData>
            </a:graphic>
          </wp:inline>
        </w:drawing>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jc w:val="center"/>
      </w:pPr>
      <w:r>
        <w:t xml:space="preserve">Figura. Una vaca en tratamiento no se puede tildar: tiene descarte de leche vigente. El sistema lo sabe porque el tratamiento se registró en Sanidad, y así evita que su leche entre al tanque por olvido. **Es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jc w:val="center"/>
      </w:pPr>
      <w:r>
        <w:t xml:space="preserve">Figura. No se puede cargar un control a una vaca seca: el sistema responde que su estado productivo es *Seca* y que por lo tanto no está dando leche. La medición pertenece a una lactancia, y una vaca seca no tiene ninguna abierta.</w:t>
      </w:r>
    </w:p>
    <w:p>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r>
        <w:drawing>
          <wp:inline xmlns:a="http://schemas.openxmlformats.org/drawingml/2006/main" xmlns:pic="http://schemas.openxmlformats.org/drawingml/2006/picture">
            <wp:extent cx="5760000" cy="429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293000"/>
                    </a:xfrm>
                    <a:prstGeom prst="rect"/>
                  </pic:spPr>
                </pic:pic>
              </a:graphicData>
            </a:graphic>
          </wp:inline>
        </w:drawing>
      </w:r>
    </w:p>
    <w:p>
      <w:pPr>
        <w:jc w:val="center"/>
      </w:pPr>
      <w:r>
        <w:t xml:space="preserve">Figura. Apertura manual de una lactancia. El botón *Proponer*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jc w:val="center"/>
      </w:pPr>
      <w:r>
        <w:t xml:space="preserve">Figura. Registro del secado. Al confirmarlo, la lactancia se cierra con esa fecha, el animal pasa a estado **Seca** y deja de aparecer en el lote de ordeñe.</w:t>
      </w:r>
    </w:p>
    <w:p>
      <w:pPr>
        <w:jc w:val="center"/>
      </w:pPr>
      <w:r>
        <w:t xml:space="preserve">Si el animal no tiene lactancia abierta, el sistema responde que </w:t>
      </w:r>
      <w:r>
        <w:rPr>
          <w:i/>
        </w:rPr>
        <w:t xml:space="preserve">«no hay nada que secar!»</w:t>
      </w:r>
      <w:r>
        <w:t xml:space="preserve">.</w:t>
      </w:r>
    </w:p>
    <w:p>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Corrección de un control individual. La fecha, el turno y la caravana se ven pero no se pueden editar: son los que identifican al control. Lo que se corrige son los litros.</w:t>
      </w:r>
    </w:p>
    <w:p>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jc w:val="center"/>
      </w:pPr>
      <w:r>
        <w:t xml:space="preserve">Figura. Vacas para servir: las hembras en condiciones de recibir servicio, con el motivo por el que figuran. El sistema las selecciona por edad, estado reproductivo y período de espera posparto.</w:t>
      </w:r>
    </w:p>
    <w:p>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jc w:val="center"/>
      </w:pPr>
      <w:r>
        <w:t xml:space="preserve">Figura. Servicio por inseminación artificial. Al elegir la pajuela, el sistema calcula la fecha probable de parto sumando los 283 días de gestación; el botón *Recalcular* la vuelve a proponer si se cambia la fecha del servicio.</w:t>
      </w:r>
    </w:p>
    <w:p>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jc w:val="center"/>
      </w:pPr>
      <w:r>
        <w:t xml:space="preserve">Figura. Advertencia de consanguinidad al registrar el servicio: la pajuela elegida es del padre de esa hembra. El sistema no lo bloquea —ofrece *Registrar de todos modos*—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jc w:val="center"/>
      </w:pPr>
      <w:r>
        <w:t xml:space="preserve">Figura. Registro de un tacto. El botón *Ver servicio*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jc w:val="center"/>
      </w:pPr>
      <w:r>
        <w:t xml:space="preserve">Figura. Alertas de parto próximo: las hembras cuya fecha probable de parto entra en la ventana configurada. Es la lista que se mira todos los días en la época de partos.</w:t>
      </w:r>
    </w:p>
    <w:p>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jc w:val="center"/>
      </w:pPr>
      <w:r>
        <w:t xml:space="preserve">Figura. Registro de un parto. Arriba los datos de la madre; al presionar *Cargar datos*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jc w:val="center"/>
      </w:pPr>
      <w:r>
        <w:t xml:space="preserve">Figura. La ficha de la madre después del parto: **En lactancia** y **Vacía**, con su lactancia nueva abierta y un parto más. Nada de esto se cargó a mano.</w:t>
      </w:r>
    </w:p>
    <w:p>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jc w:val="center"/>
      </w:pPr>
      <w:r>
        <w:t xml:space="preserve">Figura. Corrección de un parto. Se pueden ajustar la fecha, el tipo, las observaciones y los datos de las crías.</w:t>
      </w:r>
    </w:p>
    <w:p>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jc w:val="center"/>
      </w:pPr>
      <w:r>
        <w:t xml:space="preserve">Figura. Listado de servicios. Además de corregir y eliminar, permite *Ajustar*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jc w:val="center"/>
      </w:pPr>
      <w:r>
        <w:t xml:space="preserve">Figura. Registro de un diagnóstico. El estado distingue los cuadros en curso de los ya resueltos, y es lo que después permite ver qué animales están enfermos hoy.</w:t>
      </w:r>
    </w:p>
    <w:p>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jc w:val="center"/>
      </w:pPr>
      <w:r>
        <w:t xml:space="preserve">Figura. Registro de un tratamiento. El botón *Calcular*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jc w:val="center"/>
      </w:pPr>
      <w:r>
        <w:t xml:space="preserve">Figura. Registro de una vacunación. Al indicar el plan que cumple, el animal sale del calendario sanitario y el stock de la vacuna baja una dosis.</w:t>
      </w:r>
    </w:p>
    <w:p>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jc w:val="center"/>
      </w:pPr>
      <w:r>
        <w:t xml:space="preserve">Figura. El calendario después de aplicar la vacuna: el animal ya no figura. La brucelosis es de aplicación única en la vida, así que no vuelve a aparecer.</w:t>
      </w:r>
    </w:p>
    <w:p>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jc w:val="center"/>
      </w:pPr>
      <w:r>
        <w:t xml:space="preserve">Figura. El calendario después de crear el plan: aparecen como pendientes todos los animales que cumplen la edad y la categoría. No hubo que cargarlos uno por uno.</w:t>
      </w:r>
    </w:p>
    <w:p>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jc w:val="center"/>
      </w:pPr>
      <w:r>
        <w:t xml:space="preserve">Figura. Alta de un insumo. El *período de carencia*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jc w:val="center"/>
      </w:pPr>
      <w:r>
        <w:t xml:space="preserve">Figura. Ingreso de stock. Cada ingreso es una partida con su propio vencimiento, y el motivo queda anotado en el historial.</w:t>
      </w:r>
    </w:p>
    <w:p>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jc w:val="center"/>
      </w:pPr>
      <w:r>
        <w:t xml:space="preserve">Figura. Configuración del stock mínimo de un insumo. Es el umbral que dispara la alerta de stock crítico.</w:t>
      </w:r>
    </w:p>
    <w:p>
      <w:pPr>
        <w:pStyle w:val="Heading6"/>
        <w:jc w:val="center"/>
      </w:pPr>
      <w:r>
        <w:t xml:space="preserve">8.3 Las alertas</w:t>
      </w:r>
    </w:p>
    <w:p>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jc w:val="center"/>
      </w:pPr>
      <w:r>
        <w:t xml:space="preserve">Figura. Alertas de stock crítico **antes de reponer**: los insumos que alcanzaron o bajaron de su mínimo configurado.</w:t>
      </w:r>
    </w:p>
    <w:p>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jc w:val="center"/>
      </w:pPr>
      <w:r>
        <w:t xml:space="preserve">Figura. La misma pantalla **después del ingreso**: el insumo repuesto ya no figura. El par antes/después muestra para qué sirve la alerta.</w:t>
      </w:r>
    </w:p>
    <w:p>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jc w:val="center"/>
      </w:pPr>
      <w:r>
        <w:t xml:space="preserve">Figura. Historial de movimientos de un insumo, filtrado por producto. Se ven el ingreso de la partida y los egresos automáticos por tratamiento e inseminación, cada uno con su motivo. **Es la trazabilidad del stock: ningún descuento aparece sin explicación.**</w:t>
      </w:r>
    </w:p>
    <w:p>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jc w:val="center"/>
      </w:pPr>
      <w:r>
        <w:t xml:space="preserve">Figura. Registro rápido en el tablero, recién usado: el celo quedó registrado sin salir de la pantalla, y el campo de caravana espera el animal siguiente.</w:t>
      </w:r>
    </w:p>
    <w:p>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jc w:val="center"/>
      </w:pPr>
      <w:r>
        <w:t xml:space="preserve">Figura. Reporte productivo en pantalla, con sus botones de descarga. **Lo que se ve es exactamente lo que sale en el PDF y en la planilla**: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jc w:val="center"/>
      </w:pPr>
      <w:r>
        <w:t xml:space="preserve">Figura. El menú plegado en pantalla angosta: las ocho secciones siguen a un toque de distancia, detrás del botón de menú.</w:t>
      </w:r>
    </w:p>
    <w:p>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jc w:val="center"/>
      </w:pPr>
      <w:r>
        <w:t xml:space="preserve">Figura. La lista de animales en el celular: las tablas reacomodan sus columnas para leerse sin desplazamiento horizontal.</w:t>
      </w:r>
    </w:p>
    <w:p>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jc w:val="center"/>
      </w:pPr>
      <w:r>
        <w:t xml:space="preserve">Figura. La ficha de un animal en pantalla angosta, con sus secciones apiladas.</w:t>
      </w:r>
    </w:p>
    <w:p>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jc w:val="center"/>
      </w:pPr>
      <w:r>
        <w:t xml:space="preserve">Figura. Carga del ordeñe por lote desde el celular. **Es el caso de uso móvil real**: se anota en el momento, al lado del tanque.</w:t>
      </w:r>
    </w:p>
    <w:p>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jc w:val="center"/>
      </w:pPr>
      <w:r>
        <w:t xml:space="preserve">Figura. Registro de un celo desde el celular. Igual que el ordeñe, se carga cuando se observa y no un rato después.</w:t>
      </w:r>
    </w:p>
    <w:p>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jc w:val="center"/>
      </w:pPr>
      <w:r>
        <w:t xml:space="preserve">Figura. Una pantalla de alertas en el celular, para revisarla mientras se recorre el rodeo.</w:t>
      </w:r>
    </w:p>
    <w:p>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El hallazgo que sigue abierto es </w:t>
      </w:r>
      <w:r>
        <w:rPr>
          <w:b/>
        </w:rPr>
        <w:t xml:space="preserve">H6</w:t>
      </w:r>
      <w:r>
        <w:t xml:space="preserve">: [COMPLETAR: si las credenciales se sacaron del repositorio antes de la entrega, o si se decidió otra cosa].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[COMPLETAR: cuáles se pueden dar por cumplidos según las pruebas ejecutadas en 2.3 y la sesión de trabajo con la encargada. Los objetivos están redactados para que cada uno se pueda verificar contra una pantalla o un comportamiento concreto, de modo que esta evaluación es una por una y no una impresión general.]</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