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z3lfvzfp3xrs" w:id="0"/>
      <w:bookmarkEnd w:id="0"/>
      <w:r>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Indice</w:t>
      </w:r>
      <w:r>
        <w:rPr>
          <w:rtl w:val="0"/>
        </w:rPr>
      </w:r>
    </w:p>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A partir del análisis previo, se determinaron los siguientes actores: </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w:t>
      </w:r>
      <w:r>
        <w:rPr>
          <w:rtl w:val="0"/>
        </w:rPr>
        <w:t xml:space="preserve"> Usuaria Directa/Principal. Tiene permisos totales para carga de datos, consulta de alertas y generación de reportes. Es quien opera el sistema en el día a día.</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(Actores Operativos):</w:t>
      </w:r>
      <w:r>
        <w:rPr>
          <w:rtl w:val="0"/>
        </w:rPr>
        <w:t xml:space="preserve"> Son los encargados de la ejecución de las tareas diarias (ordeñe, vacunación, partos). Su rol es registrar los datos primarios en soportes físicos (cuadernos/pizarrones) para que luego Sofía los procese en el sistema. Aunque no interactúan con el software, son la fuente esencial de la información. </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w:t>
      </w:r>
      <w:r>
        <w:rPr>
          <w:rtl w:val="0"/>
        </w:rPr>
        <w:t xml:space="preserve"> Actor Indirecto/Interesado. Aunque Sofía opera el sistema, Juan es el receptor de los reportes mensuales de producción y sanidad para la toma de decisiones económicas.</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w:t>
      </w:r>
      <w:r>
        <w:rPr>
          <w:rtl w:val="0"/>
        </w:rPr>
        <w:t xml:space="preserve">: Actor Externo/Consultor. Usuario de la información sanitaria y genética. Utiliza los reportes del sistema para ajustar los planes de vacunación y las estrategias de cruce genético.</w:t>
      </w:r>
    </w:p>
    <w:p w:rsidR="00000000" w:rsidDel="00000000" w:rsidP="00000000" w:rsidRDefault="00000000" w:rsidRPr="00000000" w14:paraId="00000090">
      <w:pPr>
        <w:numPr>
          <w:ilvl w:val="0"/>
          <w:numId w:val="9"/>
        </w:numPr>
        <w:spacing w:before="0" w:beforeAutospacing="0"/>
        <w:ind w:left="720" w:hanging="360"/>
      </w:pPr>
      <w:r>
        <w:rPr>
          <w:b w:val="1"/>
          <w:bCs w:val="1"/>
          <w:rtl w:val="0"/>
        </w:rPr>
        <w:t xml:space="preserve">Administradores del Sistema (Santino y Alejo):</w:t>
      </w:r>
      <w:r>
        <w:rPr>
          <w:rtl w:val="0"/>
        </w:rPr>
        <w:t xml:space="preserve"> Soporte técnico y mantenimiento de la plataforma.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la información del rodeo en un único repositorio, logrando reducir en al menos un 80% la dispersión de datos actualmente existente en cuadernos y pizarrones.</w:t>
      </w:r>
    </w:p>
    <w:p w:rsidR="00000000" w:rsidDel="00000000" w:rsidP="00000000" w:rsidRDefault="00000000" w:rsidRPr="00000000" w14:paraId="0000009A">
      <w:pPr>
        <w:rPr/>
      </w:pPr>
      <w:r>
        <w:rPr>
          <w:rtl w:val="0"/>
        </w:rPr>
        <w:t xml:space="preserve">●​ Disminuir los errores asociados a la transcripción manual de datos en al menos un 60%, mediante la unificación y estandarización del registro de la información.</w:t>
      </w:r>
    </w:p>
    <w:p w:rsidR="00000000" w:rsidDel="00000000" w:rsidP="00000000" w:rsidRDefault="00000000" w:rsidRPr="00000000" w14:paraId="0000009B">
      <w:pPr>
        <w:rPr/>
      </w:pPr>
      <w:r>
        <w:rPr>
          <w:rtl w:val="0"/>
        </w:rPr>
        <w:t xml:space="preserve">●​ Reducir en un 50% el tiempo requerido para la consulta de información histórica de animales, facilitando el acceso a datos productivos, reproductivos y sanitarios.</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Optimizar el seguimiento reproductivo del rodeo, logrando un mayor control total sobre los eventos de servicio, preñez y parto.</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permita reducir situaciones de faltante en al menos un 50%, asegurando la disponibilidad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en un 40% el tiempo operativo destinado al registro y organización de la información, optimizando la carga de trabajo de la encargada del tambo.</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único, fecha de nacimiento, sexo, raza y categoría inicial.</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actualizar información de animales previamente registrados.</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dentro de la ascendencia registrada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las hembras según su edad y su número de partos, y los machos según su edad y su destino reproductivo.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 su propia descendencia, o un progenitor cuya fecha de nacimiento no admita la edad mínima al servicio— y debe advertir cuando el progenitor elegido se encuentre dado de baja.</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y que en el registro por lote no superen ese máximo multiplicado por la cantidad de animales del lote.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diaria del establecimiento.</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almacenar el histórico de los controles individuales registrados para cada animal.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o de un servicio en un animal que no alcanzó la edad mínima al servicio, y el de cualquier evento con fecha posterior a la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Integración con Telegram:</w:t>
        <w:br w:type="textWrapping"/>
        <w:t xml:space="preserve"> El sistema debe integrarse con un bot de Telegram, vinculando un destinatario único para todo el establecimiento.</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alertas automáticas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una hora configurable por el establecimiento.</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w:t>
      </w:r>
    </w:p>
    <w:p w:rsidR="00000000" w:rsidDel="00000000" w:rsidP="00000000" w:rsidRDefault="00000000" w:rsidRPr="00000000" w14:paraId="000000ED">
      <w:pPr>
        <w:rPr/>
      </w:pPr>
      <w:r>
        <w:rPr>
          <w:rtl w:val="0"/>
        </w:rPr>
        <w:t xml:space="preserve">●​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 Mantenibilidad: </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y caja blanca con la finalidad de detectar errores funcionales, inconsistencias lógicas y comportamientos inesperados.</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w:t>
      </w:r>
    </w:p>
    <w:p w:rsidR="00000000" w:rsidDel="00000000" w:rsidP="00000000" w:rsidRDefault="00000000" w:rsidRPr="00000000" w14:paraId="0000035F">
      <w:pPr>
        <w:pStyle w:val="Heading3"/>
        <w:ind w:firstLine="0"/>
        <w:rPr/>
      </w:pPr>
      <w:bookmarkStart w:colFirst="0" w:colLast="0" w:name="_ahdmz1izg9zh" w:id="123"/>
      <w:bookmarkEnd w:id="123"/>
      <w:r>
        <w:rPr>
          <w:rtl w:val="0"/>
        </w:rPr>
        <w:t xml:space="preserve">Pruebas de Caja Blanca</w:t>
      </w:r>
    </w:p>
    <w:p w:rsidR="00000000" w:rsidDel="00000000" w:rsidP="00000000" w:rsidRDefault="00000000" w:rsidRPr="00000000" w14:paraId="00000360">
      <w:pPr>
        <w:rPr/>
      </w:pPr>
      <w:r>
        <w:rPr>
          <w:rtl w:val="0"/>
        </w:rPr>
        <w:t xml:space="preserve">Las pruebas de caja blanca estarán enfocadas en verificar el correcto funcionamiento de la lógica interna del sistema.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(main)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seguirá un criterio descriptivo según la funcionalidad desarrollada. Algunos ejemplos serán:</w:t>
      </w:r>
    </w:p>
    <w:p w:rsidR="00000000" w:rsidDel="00000000" w:rsidP="00000000" w:rsidRDefault="00000000" w:rsidRPr="00000000" w14:paraId="000003C3">
      <w:pPr>
        <w:numPr>
          <w:ilvl w:val="0"/>
          <w:numId w:val="38"/>
        </w:numPr>
        <w:spacing w:after="0" w:afterAutospacing="0"/>
        <w:ind w:left="720" w:hanging="360"/>
      </w:pPr>
      <w:r>
        <w:rPr>
          <w:rtl w:val="0"/>
        </w:rPr>
        <w:t xml:space="preserve">feature/gestion-animales</w:t>
      </w:r>
    </w:p>
    <w:p w:rsidR="00000000" w:rsidDel="00000000" w:rsidP="00000000" w:rsidRDefault="00000000" w:rsidRPr="00000000" w14:paraId="000003C4">
      <w:pPr>
        <w:numPr>
          <w:ilvl w:val="0"/>
          <w:numId w:val="38"/>
        </w:numPr>
        <w:spacing w:after="0" w:afterAutospacing="0" w:before="0" w:beforeAutospacing="0"/>
        <w:ind w:left="720" w:hanging="360"/>
      </w:pPr>
      <w:r>
        <w:rPr>
          <w:rtl w:val="0"/>
        </w:rPr>
        <w:t xml:space="preserve">feature/control-sanitario</w:t>
      </w:r>
    </w:p>
    <w:p w:rsidR="00000000" w:rsidDel="00000000" w:rsidP="00000000" w:rsidRDefault="00000000" w:rsidRPr="00000000" w14:paraId="000003C5">
      <w:pPr>
        <w:numPr>
          <w:ilvl w:val="0"/>
          <w:numId w:val="38"/>
        </w:numPr>
        <w:spacing w:after="0" w:afterAutospacing="0" w:before="0" w:beforeAutospacing="0"/>
        <w:ind w:left="720" w:hanging="360"/>
      </w:pPr>
      <w:r>
        <w:rPr>
          <w:rtl w:val="0"/>
        </w:rPr>
        <w:t xml:space="preserve">feature/reportes</w:t>
      </w:r>
    </w:p>
    <w:p w:rsidR="00000000" w:rsidDel="00000000" w:rsidP="00000000" w:rsidRDefault="00000000" w:rsidRPr="00000000" w14:paraId="000003C6">
      <w:pPr>
        <w:numPr>
          <w:ilvl w:val="0"/>
          <w:numId w:val="38"/>
        </w:numPr>
        <w:spacing w:before="0" w:beforeAutospacing="0"/>
        <w:ind w:left="720" w:hanging="360"/>
      </w:pPr>
      <w:r>
        <w:rPr>
          <w:rtl w:val="0"/>
        </w:rPr>
        <w:t xml:space="preserve">feature/reproduccion</w:t>
      </w:r>
    </w:p>
    <w:p w:rsidR="00000000" w:rsidDel="00000000" w:rsidP="00000000" w:rsidRDefault="00000000" w:rsidRPr="00000000" w14:paraId="000003C7">
      <w:pPr>
        <w:rPr/>
      </w:pPr>
      <w:r>
        <w:rPr>
          <w:rtl w:val="0"/>
        </w:rPr>
        <w:t xml:space="preserve">De esta manera, será posible identificar fácilmente el propósito de cada modificación realizada dentro del proyecto.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serán identificadas mediante numeración incremental, permitiendo distinguir claramente los avances realizados durante el desarrollo del proyecto. Cada nueva versión incluirá las funcionalidades implementadas hasta el momento,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pStyle w:val="Heading2"/>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hyperlink r:id="rId16">
        <w:r>
          <w:rPr>
            <w:color w:val="1155cc"/>
            <w:u w:val="single"/>
            <w:rtl w:val="0"/>
          </w:rPr>
          <w:t xml:space="preserve">Microsoft .NET Documentation</w:t>
          <w:br w:type="textWrapping"/>
        </w:r>
      </w:hyperlink>
      <w:r>
        <w:rPr>
          <w:rtl w:val="0"/>
        </w:rPr>
        <w:t xml:space="preserve"> Documentación oficial de .NET utilizada como referencia para arquitectura, desarrollo backend, acceso a datos y configuración del sistema.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MySQL Documentation</w:t>
        <w:br w:type="textWrapping"/>
        <w:t xml:space="preserve"> Documentación oficial de MySQL utilizada como referencia para modelado, administración y consultas de base de datos. Último acceso: mayo de 2026.</w:t>
      </w:r>
    </w:p>
    <w:p w:rsidR="00000000" w:rsidDel="00000000" w:rsidP="00000000" w:rsidRDefault="00000000" w:rsidRPr="00000000" w14:paraId="00000440">
      <w:pPr>
        <w:numPr>
          <w:ilvl w:val="0"/>
          <w:numId w:val="18"/>
        </w:numPr>
        <w:spacing w:after="0" w:afterAutospacing="0" w:before="0" w:beforeAutospacing="0"/>
        <w:ind w:left="720" w:hanging="360"/>
      </w:pPr>
      <w:hyperlink r:id="rId17">
        <w:r>
          <w:rPr>
            <w:color w:val="1155cc"/>
            <w:u w:val="single"/>
            <w:rtl w:val="0"/>
          </w:rPr>
          <w:t xml:space="preserve">Bootstrap Documentation</w:t>
          <w:br w:type="textWrapping"/>
        </w:r>
      </w:hyperlink>
      <w:r>
        <w:rPr>
          <w:rtl w:val="0"/>
        </w:rPr>
        <w:t xml:space="preserve"> Documentación oficial utilizada para el diseño responsive y construcción de interfaces web adaptables.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hyperlink r:id="rId18">
        <w:r>
          <w:rPr>
            <w:color w:val="1155cc"/>
            <w:u w:val="single"/>
            <w:rtl w:val="0"/>
          </w:rPr>
          <w:t xml:space="preserve">Telegram Bot API Documentation</w:t>
          <w:br w:type="textWrapping"/>
        </w:r>
      </w:hyperlink>
      <w:r>
        <w:rPr>
          <w:rtl w:val="0"/>
        </w:rPr>
        <w:t xml:space="preserve"> Documentación oficial utilizada para la integración del sistema de notificaciones mediante bots de Telegram.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hyperlink r:id="rId19">
        <w:r>
          <w:rPr>
            <w:color w:val="1155cc"/>
            <w:u w:val="single"/>
            <w:rtl w:val="0"/>
          </w:rPr>
          <w:t xml:space="preserve">Visual Studio</w:t>
          <w:br w:type="textWrapping"/>
        </w:r>
      </w:hyperlink>
      <w:r>
        <w:rPr>
          <w:rtl w:val="0"/>
        </w:rPr>
        <w:t xml:space="preserve"> Sitio oficial utilizado como referencia para herramientas y entorno de desarrollo compatible con .NET y MySQL.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hyperlink r:id="rId20">
        <w:r>
          <w:rPr>
            <w:color w:val="1155cc"/>
            <w:u w:val="single"/>
            <w:rtl w:val="0"/>
          </w:rPr>
          <w:t xml:space="preserve">SmarterASP.NET</w:t>
          <w:br w:type="textWrapping"/>
        </w:r>
      </w:hyperlink>
      <w:r>
        <w:rPr>
          <w:rtl w:val="0"/>
        </w:rPr>
        <w:t xml:space="preserve"> Sitio oficial del servicio de hosting seleccionado para el despliegue del sistema.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