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z3lfvzfp3xrs" w:id="0"/>
      <w:bookmarkEnd w:id="0"/>
      <w:r>
        <w:rPr>
          <w:rFonts w:ascii="Times New Roman" w:cs="Times New Roman" w:eastAsia="Times New Roman" w:hAnsi="Times New Roman"/>
          <w:b w:val="0"/>
          <w:bCs w:val="0"/>
          <w:i w:val="0"/>
          <w:iCs w:val="0"/>
          <w:smallCaps w:val="0"/>
          <w:strike w:val="0"/>
          <w:color w:val="000000"/>
          <w:sz w:val="52"/>
          <w:szCs w:val="52"/>
          <w:u w:val="none"/>
          <w:shd w:fill="auto" w:val="clear"/>
          <w:vertAlign w:val="baseline"/>
          <w:rtl w:val="0"/>
        </w:rPr>
        <w:t xml:space="preserve">Indice</w:t>
      </w:r>
      <w:r>
        <w:rPr>
          <w:rtl w:val="0"/>
        </w:rPr>
      </w:r>
    </w:p>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pgNumType w:start="1"/>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dentro de la ascendencia registrada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las hembras según su edad y su número de partos, y los machos según su edad y su destino reproductivo.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 su propia descendencia, o un progenitor cuya fecha de nacimiento no admita la edad mínima al servicio— y debe advertir cuando el progenitor elegido se encuentre dado de baja.</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y que en el registro por lote no superen ese máximo multiplicado por la cantidad de animales del lote.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o de un servicio en un animal que no alcanzó la edad mínima al servicio, y el de cualquier evento con fecha posterior a la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alertas automáticas sobre procedimientos sanitarios pendientes, partos próximos, tactos pendientes, secados próximos, stock crítico, vencimiento de insumos y fin del período de descarte de leche.</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 Mantenibilidad: </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Los cinco primeros se encuentran completados y el sexto es el que resta.</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desarrollarán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y caja blanca con la finalidad de detectar errores funcionales, inconsistencias lógicas y comportamientos inesperados.</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w:t>
      </w:r>
    </w:p>
    <w:p w:rsidR="00000000" w:rsidDel="00000000" w:rsidP="00000000" w:rsidRDefault="00000000" w:rsidRPr="00000000" w14:paraId="0000035F">
      <w:pPr>
        <w:pStyle w:val="Heading3"/>
        <w:ind w:firstLine="0"/>
        <w:rPr/>
      </w:pPr>
      <w:bookmarkStart w:colFirst="0" w:colLast="0" w:name="_ahdmz1izg9zh" w:id="123"/>
      <w:bookmarkEnd w:id="123"/>
      <w:r>
        <w:rPr>
          <w:rtl w:val="0"/>
        </w:rPr>
        <w:t xml:space="preserve">Pruebas de Caja Blanca</w:t>
      </w:r>
    </w:p>
    <w:p w:rsidR="00000000" w:rsidDel="00000000" w:rsidP="00000000" w:rsidRDefault="00000000" w:rsidRPr="00000000" w14:paraId="00000360">
      <w:pPr>
        <w:rPr/>
      </w:pPr>
      <w:r>
        <w:rPr>
          <w:rtl w:val="0"/>
        </w:rPr>
        <w:t xml:space="preserve">Las pruebas de caja blanca estarán enfocadas en verificar el correcto funcionamiento de la lógica interna del sistema.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(main)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seguirá un criterio descriptivo según la funcionalidad desarrollada. Algunos ejemplos serán:</w:t>
      </w:r>
    </w:p>
    <w:p w:rsidR="00000000" w:rsidDel="00000000" w:rsidP="00000000" w:rsidRDefault="00000000" w:rsidRPr="00000000" w14:paraId="000003C3">
      <w:pPr>
        <w:numPr>
          <w:ilvl w:val="0"/>
          <w:numId w:val="38"/>
        </w:numPr>
        <w:spacing w:after="0" w:afterAutospacing="0"/>
        <w:ind w:left="720" w:hanging="360"/>
      </w:pPr>
      <w:r>
        <w:rPr>
          <w:rtl w:val="0"/>
        </w:rPr>
        <w:t xml:space="preserve">feature/gestion-animales</w:t>
      </w:r>
    </w:p>
    <w:p w:rsidR="00000000" w:rsidDel="00000000" w:rsidP="00000000" w:rsidRDefault="00000000" w:rsidRPr="00000000" w14:paraId="000003C4">
      <w:pPr>
        <w:numPr>
          <w:ilvl w:val="0"/>
          <w:numId w:val="38"/>
        </w:numPr>
        <w:spacing w:after="0" w:afterAutospacing="0" w:before="0" w:beforeAutospacing="0"/>
        <w:ind w:left="720" w:hanging="360"/>
      </w:pPr>
      <w:r>
        <w:rPr>
          <w:rtl w:val="0"/>
        </w:rPr>
        <w:t xml:space="preserve">feature/control-sanitario</w:t>
      </w:r>
    </w:p>
    <w:p w:rsidR="00000000" w:rsidDel="00000000" w:rsidP="00000000" w:rsidRDefault="00000000" w:rsidRPr="00000000" w14:paraId="000003C5">
      <w:pPr>
        <w:numPr>
          <w:ilvl w:val="0"/>
          <w:numId w:val="38"/>
        </w:numPr>
        <w:spacing w:after="0" w:afterAutospacing="0" w:before="0" w:beforeAutospacing="0"/>
        <w:ind w:left="720" w:hanging="360"/>
      </w:pPr>
      <w:r>
        <w:rPr>
          <w:rtl w:val="0"/>
        </w:rPr>
        <w:t xml:space="preserve">feature/reportes</w:t>
      </w:r>
    </w:p>
    <w:p w:rsidR="00000000" w:rsidDel="00000000" w:rsidP="00000000" w:rsidRDefault="00000000" w:rsidRPr="00000000" w14:paraId="000003C6">
      <w:pPr>
        <w:numPr>
          <w:ilvl w:val="0"/>
          <w:numId w:val="38"/>
        </w:numPr>
        <w:spacing w:before="0" w:beforeAutospacing="0"/>
        <w:ind w:left="720" w:hanging="360"/>
      </w:pPr>
      <w:r>
        <w:rPr>
          <w:rtl w:val="0"/>
        </w:rPr>
        <w:t xml:space="preserve">feature/reproduccion</w:t>
      </w:r>
    </w:p>
    <w:p w:rsidR="00000000" w:rsidDel="00000000" w:rsidP="00000000" w:rsidRDefault="00000000" w:rsidRPr="00000000" w14:paraId="000003C7">
      <w:pPr>
        <w:rPr/>
      </w:pPr>
      <w:r>
        <w:rPr>
          <w:rtl w:val="0"/>
        </w:rPr>
        <w:t xml:space="preserve">De esta manera, será posible identificar fácilmente el propósito de cada modificación realizada dentro del proyecto.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serán identificadas mediante numeración incremental, permitiendo distinguir claramente los avances realizados durante el desarrollo del proyecto. Cada nueva versión incluirá las funcionalidades implementadas hasta el momento,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pStyle w:val="Heading2"/>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hyperlink r:id="rId16">
        <w:r>
          <w:rPr>
            <w:color w:val="1155cc"/>
            <w:u w:val="single"/>
            <w:rtl w:val="0"/>
          </w:rPr>
          <w:t xml:space="preserve">Microsoft .NET Documentation</w:t>
          <w:br w:type="textWrapping"/>
        </w:r>
      </w:hyperlink>
      <w:r>
        <w:rPr>
          <w:rtl w:val="0"/>
        </w:rPr>
        <w:t xml:space="preserve"> Documentación oficial de .NET utilizada como referencia para arquitectura, desarrollo backend, acceso a datos y configuración del sistema.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MySQL Documentation</w:t>
        <w:br w:type="textWrapping"/>
        <w:t xml:space="preserve"> Documentación oficial de MySQL utilizada como referencia para modelado, administración y consultas de base de datos. Último acceso: mayo de 2026.</w:t>
      </w:r>
    </w:p>
    <w:p w:rsidR="00000000" w:rsidDel="00000000" w:rsidP="00000000" w:rsidRDefault="00000000" w:rsidRPr="00000000" w14:paraId="00000440">
      <w:pPr>
        <w:numPr>
          <w:ilvl w:val="0"/>
          <w:numId w:val="18"/>
        </w:numPr>
        <w:spacing w:after="0" w:afterAutospacing="0" w:before="0" w:beforeAutospacing="0"/>
        <w:ind w:left="720" w:hanging="360"/>
      </w:pPr>
      <w:hyperlink r:id="rId17">
        <w:r>
          <w:rPr>
            <w:color w:val="1155cc"/>
            <w:u w:val="single"/>
            <w:rtl w:val="0"/>
          </w:rPr>
          <w:t xml:space="preserve">Bootstrap Documentation</w:t>
          <w:br w:type="textWrapping"/>
        </w:r>
      </w:hyperlink>
      <w:r>
        <w:rPr>
          <w:rtl w:val="0"/>
        </w:rPr>
        <w:t xml:space="preserve"> Documentación oficial utilizada para el diseño responsive y construcción de interfaces web adaptables.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hyperlink r:id="rId18">
        <w:r>
          <w:rPr>
            <w:color w:val="1155cc"/>
            <w:u w:val="single"/>
            <w:rtl w:val="0"/>
          </w:rPr>
          <w:t xml:space="preserve">Telegram Bot API Documentation</w:t>
          <w:br w:type="textWrapping"/>
        </w:r>
      </w:hyperlink>
      <w:r>
        <w:rPr>
          <w:rtl w:val="0"/>
        </w:rPr>
        <w:t xml:space="preserve"> Documentación oficial utilizada para la integración del sistema de notificaciones mediante bots de Telegram.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hyperlink r:id="rId19">
        <w:r>
          <w:rPr>
            <w:color w:val="1155cc"/>
            <w:u w:val="single"/>
            <w:rtl w:val="0"/>
          </w:rPr>
          <w:t xml:space="preserve">Visual Studio</w:t>
          <w:br w:type="textWrapping"/>
        </w:r>
      </w:hyperlink>
      <w:r>
        <w:rPr>
          <w:rtl w:val="0"/>
        </w:rPr>
        <w:t xml:space="preserve"> Sitio oficial utilizado como referencia para herramientas y entorno de desarrollo compatible con .NET y MySQL.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hyperlink r:id="rId20">
        <w:r>
          <w:rPr>
            <w:color w:val="1155cc"/>
            <w:u w:val="single"/>
            <w:rtl w:val="0"/>
          </w:rPr>
          <w:t xml:space="preserve">SmarterASP.NET</w:t>
          <w:br w:type="textWrapping"/>
        </w:r>
      </w:hyperlink>
      <w:r>
        <w:rPr>
          <w:rtl w:val="0"/>
        </w:rPr>
        <w:t xml:space="preserve"> Sitio oficial del servicio de hosting seleccionado para el despliegue del sistema.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