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00589" w14:textId="5615A0AC" w:rsidR="00616F93" w:rsidRDefault="00000000">
      <w:r>
        <w:rPr>
          <w:rFonts w:ascii="Calibri" w:eastAsia="Calibri" w:hAnsi="Calibri"/>
          <w:b/>
          <w:color w:val="0F172A"/>
          <w:sz w:val="40"/>
        </w:rPr>
        <w:t xml:space="preserve">TuClima — Guía </w:t>
      </w:r>
    </w:p>
    <w:p w14:paraId="18013AB4" w14:textId="77777777" w:rsidR="00616F93" w:rsidRDefault="00000000">
      <w:pPr>
        <w:spacing w:after="160"/>
      </w:pPr>
      <w:r>
        <w:rPr>
          <w:rFonts w:ascii="Calibri" w:eastAsia="Calibri" w:hAnsi="Calibri"/>
          <w:i/>
          <w:color w:val="64748B"/>
          <w:sz w:val="24"/>
        </w:rPr>
        <w:t>Qué problemas tiene hoy el sitio, qué significan y cómo corregirlos</w:t>
      </w:r>
    </w:p>
    <w:p w14:paraId="653B218C" w14:textId="77777777" w:rsidR="00616F93" w:rsidRDefault="00000000">
      <w:pPr>
        <w:spacing w:after="160"/>
      </w:pPr>
      <w:r>
        <w:rPr>
          <w:rFonts w:ascii="Calibri" w:eastAsia="Calibri" w:hAnsi="Calibri"/>
          <w:color w:val="64748B"/>
          <w:sz w:val="20"/>
        </w:rPr>
        <w:t>Sitio: tuclima.com.ar · Contacto producto: Santino Gioffre · Fecha: agosto 2026</w:t>
      </w:r>
    </w:p>
    <w:p w14:paraId="420656E9" w14:textId="52B68045" w:rsidR="00616F93" w:rsidRDefault="00000000">
      <w:pPr>
        <w:spacing w:after="160"/>
      </w:pPr>
      <w:proofErr w:type="spellStart"/>
      <w:r>
        <w:rPr>
          <w:rFonts w:ascii="Calibri" w:eastAsia="Calibri" w:hAnsi="Calibri"/>
          <w:b/>
          <w:color w:val="0F172A"/>
          <w:sz w:val="28"/>
        </w:rPr>
        <w:t>Resumen</w:t>
      </w:r>
      <w:proofErr w:type="spellEnd"/>
    </w:p>
    <w:p w14:paraId="0841119F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 xml:space="preserve">TuClima es </w:t>
      </w:r>
      <w:proofErr w:type="gramStart"/>
      <w:r>
        <w:rPr>
          <w:rFonts w:ascii="Calibri" w:eastAsia="Calibri" w:hAnsi="Calibri"/>
          <w:color w:val="1E293B"/>
        </w:rPr>
        <w:t>un SaaS</w:t>
      </w:r>
      <w:proofErr w:type="gramEnd"/>
      <w:r>
        <w:rPr>
          <w:rFonts w:ascii="Calibri" w:eastAsia="Calibri" w:hAnsi="Calibri"/>
          <w:color w:val="1E293B"/>
        </w:rPr>
        <w:t xml:space="preserve"> de clima operativo (suscripciones + tokens, con IA y modos agro/aéreo/naval/energía). Ya hay borradores de Términos, Privacidad, Cookies y Reembolsos en el sitio, pero faltan datos fiscales reales, aceptación formal del usuario, política de reembolso cerrada, y alinear lo que dice el texto legal con lo que el producto realmente hace (cuentas, ubicaciones, AdSense, pagos).</w:t>
      </w:r>
    </w:p>
    <w:p w14:paraId="434DC698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Prioridad antes de cobrar en vivo de forma estable:</w:t>
      </w:r>
    </w:p>
    <w:p w14:paraId="19C89A26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Identidad del prestador (razón social, CUIT, domicilio, emails).</w:t>
      </w:r>
    </w:p>
    <w:p w14:paraId="3FCE70FB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Textos legales definitivos + checkbox de aceptación en registro/pago.</w:t>
      </w:r>
    </w:p>
    <w:p w14:paraId="6DD12A7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Reembolsos / cancelación / quién factura.</w:t>
      </w:r>
    </w:p>
    <w:p w14:paraId="0C571CE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Cookies alineadas con AdSense (y banner propio si corresponde).</w:t>
      </w:r>
    </w:p>
    <w:p w14:paraId="04FCA58F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Métodos de pago en modo producción (no test/sandbox).</w:t>
      </w:r>
    </w:p>
    <w:p w14:paraId="6B68180B" w14:textId="77777777" w:rsidR="00616F93" w:rsidRDefault="00000000">
      <w:r>
        <w:br w:type="page"/>
      </w:r>
    </w:p>
    <w:p w14:paraId="136F4793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lastRenderedPageBreak/>
        <w:t>1. Cookies y publicidad (AdSense)</w:t>
      </w:r>
    </w:p>
    <w:p w14:paraId="2F198355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Qué es el problema</w:t>
      </w:r>
    </w:p>
    <w:p w14:paraId="00D01ED0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Las cookies son pequeños archivos o datos que el navegador guarda. Algunas son imprescindibles (sesión, seguridad). Otras son de terceros (publicidad, traducción).</w:t>
      </w:r>
    </w:p>
    <w:p w14:paraId="4B3AB740" w14:textId="4176C7B1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 xml:space="preserve">Hoy TuClima tiene (o está preparando) Google AdSense en la landing. Eso implica cookies/scripts de Google. Ya hay un </w:t>
      </w:r>
      <w:proofErr w:type="spellStart"/>
      <w:r>
        <w:rPr>
          <w:rFonts w:ascii="Calibri" w:eastAsia="Calibri" w:hAnsi="Calibri"/>
          <w:color w:val="1E293B"/>
        </w:rPr>
        <w:t>borrador</w:t>
      </w:r>
      <w:proofErr w:type="spellEnd"/>
      <w:r>
        <w:rPr>
          <w:rFonts w:ascii="Calibri" w:eastAsia="Calibri" w:hAnsi="Calibri"/>
          <w:color w:val="1E293B"/>
        </w:rPr>
        <w:t xml:space="preserve"> de Política de Cookies, pero:</w:t>
      </w:r>
    </w:p>
    <w:p w14:paraId="2694FA1B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Falta un inventario real (nombre de cada cookie, duración, proveedor).</w:t>
      </w:r>
    </w:p>
    <w:p w14:paraId="3C4B934F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Hay CMP de Google para EEA (Consent / Do not consent / Manage), pero no un banner propio claro para usuarios en Argentina.</w:t>
      </w:r>
    </w:p>
    <w:p w14:paraId="3A5F0BB3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Weglot (traducción) está preparado y, si se activa, también agrega terceros.</w:t>
      </w:r>
    </w:p>
    <w:p w14:paraId="6B50AF3C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Por qué le importa al abogado</w:t>
      </w:r>
    </w:p>
    <w:p w14:paraId="115F8F81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Transparencia frente al usuario y coherencia con la Política de Privacidad.</w:t>
      </w:r>
    </w:p>
    <w:p w14:paraId="1A110156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Consentimiento para cookies no esenciales (matiz AR / si hay tráfico EEA).</w:t>
      </w:r>
    </w:p>
    <w:p w14:paraId="05A33670" w14:textId="77777777" w:rsidR="00616F93" w:rsidRDefault="00000000">
      <w:pPr>
        <w:spacing w:after="120"/>
      </w:pPr>
      <w:proofErr w:type="spellStart"/>
      <w:r>
        <w:rPr>
          <w:rFonts w:ascii="Calibri" w:eastAsia="Calibri" w:hAnsi="Calibri"/>
          <w:b/>
          <w:color w:val="1E293B"/>
          <w:sz w:val="24"/>
        </w:rPr>
        <w:t>Cómo</w:t>
      </w:r>
      <w:proofErr w:type="spellEnd"/>
      <w:r>
        <w:rPr>
          <w:rFonts w:ascii="Calibri" w:eastAsia="Calibri" w:hAnsi="Calibri"/>
          <w:b/>
          <w:color w:val="1E293B"/>
          <w:sz w:val="24"/>
        </w:rPr>
        <w:t xml:space="preserve"> se </w:t>
      </w:r>
      <w:proofErr w:type="spellStart"/>
      <w:r>
        <w:rPr>
          <w:rFonts w:ascii="Calibri" w:eastAsia="Calibri" w:hAnsi="Calibri"/>
          <w:b/>
          <w:color w:val="1E293B"/>
          <w:sz w:val="24"/>
        </w:rPr>
        <w:t>corrige</w:t>
      </w:r>
      <w:proofErr w:type="spellEnd"/>
    </w:p>
    <w:p w14:paraId="616C2C85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LEGAL: cerrar la Política de Cookies con inventario; listar Google AdSense y Weglot (si aplica); explicar cómo rechazar/gestionar.</w:t>
      </w:r>
    </w:p>
    <w:p w14:paraId="0DF4CF40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PRODUCTO: mantener AdSense solo con textos alineados; implementar banner de cookies propio para AR si el abogado lo recomienda; no activar Weglot hasta tenerlo declarado.</w:t>
      </w:r>
    </w:p>
    <w:p w14:paraId="03BF7111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PRIVACIDAD: en la política, mencionar publicidad y transferencias a Google cuando AdSense esté on.</w:t>
      </w:r>
    </w:p>
    <w:p w14:paraId="62615019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Estado actual en la plataforma</w:t>
      </w:r>
    </w:p>
    <w:p w14:paraId="4A4AAE64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Página: /legal/cookies/ (borrador).</w:t>
      </w:r>
    </w:p>
    <w:p w14:paraId="2E110DF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Slots AdSense en landing; script publisher en base.html.</w:t>
      </w:r>
    </w:p>
    <w:p w14:paraId="5F519C30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Variable ADSENSE_ENABLED para pausar anuncios si hace falta.</w:t>
      </w:r>
    </w:p>
    <w:p w14:paraId="58E1C703" w14:textId="77777777" w:rsidR="00616F93" w:rsidRDefault="00000000">
      <w:r>
        <w:br w:type="page"/>
      </w:r>
    </w:p>
    <w:p w14:paraId="689C954E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lastRenderedPageBreak/>
        <w:t>2. Métodos de pago</w:t>
      </w:r>
    </w:p>
    <w:p w14:paraId="5A18BBA8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Qué es el problema</w:t>
      </w:r>
    </w:p>
    <w:p w14:paraId="01E41292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La plataforma permite (o permitirá) cobrar planes/tokens por varios canales. Cada canal tiene un estado técnico distinto y reglas distintas de facturación: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616F93" w14:paraId="51F76E0E" w14:textId="77777777">
        <w:tc>
          <w:tcPr>
            <w:tcW w:w="2436" w:type="dxa"/>
            <w:shd w:val="clear" w:color="auto" w:fill="0F172A"/>
          </w:tcPr>
          <w:p w14:paraId="25A92C27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36" w:type="dxa"/>
            <w:shd w:val="clear" w:color="auto" w:fill="0F172A"/>
          </w:tcPr>
          <w:p w14:paraId="660FA817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Para qué</w:t>
            </w:r>
          </w:p>
        </w:tc>
        <w:tc>
          <w:tcPr>
            <w:tcW w:w="2436" w:type="dxa"/>
            <w:shd w:val="clear" w:color="auto" w:fill="0F172A"/>
          </w:tcPr>
          <w:p w14:paraId="01B0559F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Estado típico hoy</w:t>
            </w:r>
          </w:p>
        </w:tc>
        <w:tc>
          <w:tcPr>
            <w:tcW w:w="2436" w:type="dxa"/>
            <w:shd w:val="clear" w:color="auto" w:fill="0F172A"/>
          </w:tcPr>
          <w:p w14:paraId="64D17160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Riesgo / duda legal</w:t>
            </w:r>
          </w:p>
        </w:tc>
      </w:tr>
      <w:tr w:rsidR="00616F93" w14:paraId="076E9F68" w14:textId="77777777">
        <w:tc>
          <w:tcPr>
            <w:tcW w:w="2436" w:type="dxa"/>
          </w:tcPr>
          <w:p w14:paraId="1C45FB6F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Lemon Squeezy</w:t>
            </w:r>
          </w:p>
        </w:tc>
        <w:tc>
          <w:tcPr>
            <w:tcW w:w="2436" w:type="dxa"/>
          </w:tcPr>
          <w:p w14:paraId="43CB9DD3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Suscripciones/planes en USD; puede actuar como Merchant of Record</w:t>
            </w:r>
          </w:p>
        </w:tc>
        <w:tc>
          <w:tcPr>
            <w:tcW w:w="2436" w:type="dxa"/>
          </w:tcPr>
          <w:p w14:paraId="757292F2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Cuenta en revisión / Test mode (pendiente Live)</w:t>
            </w:r>
          </w:p>
        </w:tc>
        <w:tc>
          <w:tcPr>
            <w:tcW w:w="2436" w:type="dxa"/>
          </w:tcPr>
          <w:p w14:paraId="477C5250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Quién factura al cliente final; refund policy; video/demo pedida por LS</w:t>
            </w:r>
          </w:p>
        </w:tc>
      </w:tr>
      <w:tr w:rsidR="00616F93" w14:paraId="58F554BB" w14:textId="77777777">
        <w:tc>
          <w:tcPr>
            <w:tcW w:w="2436" w:type="dxa"/>
          </w:tcPr>
          <w:p w14:paraId="39E6122D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PayPal</w:t>
            </w:r>
          </w:p>
        </w:tc>
        <w:tc>
          <w:tcPr>
            <w:tcW w:w="2436" w:type="dxa"/>
          </w:tcPr>
          <w:p w14:paraId="4A54276E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Pagos internacionales</w:t>
            </w:r>
          </w:p>
        </w:tc>
        <w:tc>
          <w:tcPr>
            <w:tcW w:w="2436" w:type="dxa"/>
          </w:tcPr>
          <w:p w14:paraId="1979940F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A menudo configurado en sandbox (pruebas)</w:t>
            </w:r>
          </w:p>
        </w:tc>
        <w:tc>
          <w:tcPr>
            <w:tcW w:w="2436" w:type="dxa"/>
          </w:tcPr>
          <w:p w14:paraId="6831C8E8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Pasar a Live; comprobantes; disputas/chargebacks</w:t>
            </w:r>
          </w:p>
        </w:tc>
      </w:tr>
      <w:tr w:rsidR="00616F93" w14:paraId="05E39A9D" w14:textId="77777777">
        <w:tc>
          <w:tcPr>
            <w:tcW w:w="2436" w:type="dxa"/>
          </w:tcPr>
          <w:p w14:paraId="56C06BB7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Mercado Pago</w:t>
            </w:r>
          </w:p>
        </w:tc>
        <w:tc>
          <w:tcPr>
            <w:tcW w:w="2436" w:type="dxa"/>
          </w:tcPr>
          <w:p w14:paraId="2EF126E5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Pagos AR / LATAM</w:t>
            </w:r>
          </w:p>
        </w:tc>
        <w:tc>
          <w:tcPr>
            <w:tcW w:w="2436" w:type="dxa"/>
          </w:tcPr>
          <w:p w14:paraId="746DE9BE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Requiere token APP_USR (producción), no TEST</w:t>
            </w:r>
          </w:p>
        </w:tc>
        <w:tc>
          <w:tcPr>
            <w:tcW w:w="2436" w:type="dxa"/>
          </w:tcPr>
          <w:p w14:paraId="37AD13F6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Factura / ticket; webhooks; contracargos</w:t>
            </w:r>
          </w:p>
        </w:tc>
      </w:tr>
      <w:tr w:rsidR="00616F93" w14:paraId="631DCC8F" w14:textId="77777777">
        <w:tc>
          <w:tcPr>
            <w:tcW w:w="2436" w:type="dxa"/>
          </w:tcPr>
          <w:p w14:paraId="07AF2F23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Transferencia (CVU/ARS)</w:t>
            </w:r>
          </w:p>
        </w:tc>
        <w:tc>
          <w:tcPr>
            <w:tcW w:w="2436" w:type="dxa"/>
          </w:tcPr>
          <w:p w14:paraId="66B00ABC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Pago manual local</w:t>
            </w:r>
          </w:p>
        </w:tc>
        <w:tc>
          <w:tcPr>
            <w:tcW w:w="2436" w:type="dxa"/>
          </w:tcPr>
          <w:p w14:paraId="0A98B0E8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Acreditación manual tras comprobante</w:t>
            </w:r>
          </w:p>
        </w:tc>
        <w:tc>
          <w:tcPr>
            <w:tcW w:w="2436" w:type="dxa"/>
          </w:tcPr>
          <w:p w14:paraId="1EC76942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Plazos de activación; reembolso al mismo CVU; sin SLA claro al usuario</w:t>
            </w:r>
          </w:p>
        </w:tc>
      </w:tr>
    </w:tbl>
    <w:p w14:paraId="093D8403" w14:textId="77777777" w:rsidR="00616F93" w:rsidRDefault="00616F93">
      <w:pPr>
        <w:spacing w:after="160"/>
      </w:pPr>
    </w:p>
    <w:p w14:paraId="17FE1673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Además: si el usuario paga y el webhook falla, puede quedar el dinero tomado sin plan activado. Eso debe estar cubierto en Reembolsos (“error de activación”).</w:t>
      </w:r>
    </w:p>
    <w:p w14:paraId="3C02B5BC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 xml:space="preserve">Defensa del </w:t>
      </w:r>
      <w:proofErr w:type="spellStart"/>
      <w:r>
        <w:rPr>
          <w:rFonts w:ascii="Calibri" w:eastAsia="Calibri" w:hAnsi="Calibri"/>
          <w:color w:val="1E293B"/>
        </w:rPr>
        <w:t>consumidor</w:t>
      </w:r>
      <w:proofErr w:type="spellEnd"/>
      <w:r>
        <w:rPr>
          <w:rFonts w:ascii="Calibri" w:eastAsia="Calibri" w:hAnsi="Calibri"/>
          <w:color w:val="1E293B"/>
        </w:rPr>
        <w:t xml:space="preserve">: </w:t>
      </w:r>
      <w:proofErr w:type="spellStart"/>
      <w:r>
        <w:rPr>
          <w:rFonts w:ascii="Calibri" w:eastAsia="Calibri" w:hAnsi="Calibri"/>
          <w:color w:val="1E293B"/>
        </w:rPr>
        <w:t>claridad</w:t>
      </w:r>
      <w:proofErr w:type="spellEnd"/>
      <w:r>
        <w:rPr>
          <w:rFonts w:ascii="Calibri" w:eastAsia="Calibri" w:hAnsi="Calibri"/>
          <w:color w:val="1E293B"/>
        </w:rPr>
        <w:t xml:space="preserve"> de precio, medio, activación y reembolso.</w:t>
      </w:r>
    </w:p>
    <w:p w14:paraId="4F02CD4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Quién es el vendedor frente al cliente (TuClima vs Lemon Squeezy como MoR).</w:t>
      </w:r>
    </w:p>
    <w:p w14:paraId="398A10C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Obligaciones fiscales argentinas (monotributo / RI / factura electrónica).</w:t>
      </w:r>
    </w:p>
    <w:p w14:paraId="00B2A965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Prueba de aceptación de términos al momento del pago.</w:t>
      </w:r>
    </w:p>
    <w:p w14:paraId="611927E9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Cómo se corrige</w:t>
      </w:r>
    </w:p>
    <w:p w14:paraId="1D1CF389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LEGAL: Política de Reembolsos cerrada (plazos, tokens usados, transferencias, chargebacks); en Términos, sección de pagos y quién emite comprobante por canal.</w:t>
      </w:r>
    </w:p>
    <w:p w14:paraId="7AB77E32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NEGOCIO/CONTABLE: definir razón social, CUIT, régimen; definir si LS factura como MoR en USD y qué queda para TuClima en ARS.</w:t>
      </w:r>
    </w:p>
    <w:p w14:paraId="6C71438A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PRODUCTO: pasar LS/PayPal/MP a producción; documentar en la web el plazo de transferencia; checkbox “Acepto Términos y Privacidad” antes de pagar; guardar versión aceptada.</w:t>
      </w:r>
    </w:p>
    <w:p w14:paraId="5038FD3E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OPERACIÓN: email de soporte de pagos; procedimiento si pagó y no se activó.</w:t>
      </w:r>
    </w:p>
    <w:p w14:paraId="355813F5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Estado actual en la plataforma</w:t>
      </w:r>
    </w:p>
    <w:p w14:paraId="0F026F14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Páginas: /pricing/, flujos ls-checkout, PayPal, Mercado Pago, transferencia.</w:t>
      </w:r>
    </w:p>
    <w:p w14:paraId="6B6C1A45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Borrador: /legal/reembolsos/.</w:t>
      </w:r>
    </w:p>
    <w:p w14:paraId="2D38B843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Lemon Squeezy: pendiente aprobación Live + video de funcionamiento.</w:t>
      </w:r>
    </w:p>
    <w:p w14:paraId="7401AB18" w14:textId="77777777" w:rsidR="00616F93" w:rsidRDefault="00000000">
      <w:r>
        <w:br w:type="page"/>
      </w:r>
    </w:p>
    <w:p w14:paraId="0079D7B9" w14:textId="77777777" w:rsidR="00616F93" w:rsidRDefault="00000000">
      <w:r>
        <w:lastRenderedPageBreak/>
        <w:br w:type="page"/>
      </w:r>
    </w:p>
    <w:p w14:paraId="5D558AC1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lastRenderedPageBreak/>
        <w:t>4. Términos, aceptación e identidad del prestador</w:t>
      </w:r>
    </w:p>
    <w:p w14:paraId="35B8F0F2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Qué es el problema</w:t>
      </w:r>
    </w:p>
    <w:p w14:paraId="13004943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Sin razón social, CUIT, domicilio y email legal visibles, el sitio no identifica claramente al prestador. Además, registro y checkout todavía no exigen un checkbox de “Acepto Términos y Privacidad” con registro de versión/fecha.</w:t>
      </w:r>
    </w:p>
    <w:p w14:paraId="0D073E8C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Por qué le importa al abogado</w:t>
      </w:r>
    </w:p>
    <w:p w14:paraId="69F744F8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Exigencia básica frente a consumidor y a gateways (LS, MP, PayPal).</w:t>
      </w:r>
    </w:p>
    <w:p w14:paraId="4E1DBC34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Prueba de aceptación en reclamos o chargebacks.</w:t>
      </w:r>
    </w:p>
    <w:p w14:paraId="65C9F61F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Jurisdicción y responsabilidad (cláusula meteorológica / IA).</w:t>
      </w:r>
    </w:p>
    <w:p w14:paraId="0FF3FE4C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Cómo se corrige</w:t>
      </w:r>
    </w:p>
    <w:p w14:paraId="1E6F66D4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Completar en Términos los datos de [RAZÓN SOCIAL], [CUIT], etc.</w:t>
      </w:r>
    </w:p>
    <w:p w14:paraId="32C895DA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Publicar esos datos también en el footer del sitio.</w:t>
      </w:r>
    </w:p>
    <w:p w14:paraId="5429A6EF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Implementar checkbox obligatorio + guardar aceptación (usuario, fecha, versión del doc).</w:t>
      </w:r>
    </w:p>
    <w:p w14:paraId="5CF5F763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Mantener/fortalecer disclaimer: datos informativos; no reemplazan SMN/NOTAMs; no son asesoramiento profesional; IA puede errar.</w:t>
      </w:r>
    </w:p>
    <w:p w14:paraId="632085A0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t>5. Reembolsos, cancelación y tokens</w:t>
      </w:r>
    </w:p>
    <w:p w14:paraId="71B34435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Qué es el problema</w:t>
      </w:r>
    </w:p>
    <w:p w14:paraId="054C937A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Se venden planes y paquetes de tokens (créditos de uso de IA/funciones). No hay aún una política cerrada de: arrepentimiento, cancelación de renovación, qué pasa si ya se consumieron tokens, y plazos de transferencia ARS.</w:t>
      </w:r>
    </w:p>
    <w:p w14:paraId="65C26A49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Cómo se corrige</w:t>
      </w:r>
    </w:p>
    <w:p w14:paraId="6E7470D9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Cerrar /legal/reembolsos/ con el abogado (plazos concretos).</w:t>
      </w:r>
    </w:p>
    <w:p w14:paraId="041A181E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Regla típica de producto a validar: tokens consumidos no reembolsables en esa proporción.</w:t>
      </w:r>
    </w:p>
    <w:p w14:paraId="781BDDEF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Caso especial: pago OK + plan no activado → reactivar o reembolsar.</w:t>
      </w:r>
    </w:p>
    <w:p w14:paraId="601E0C03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Explicar en la web cómo pedir reembolso (email desde la cuenta).</w:t>
      </w:r>
    </w:p>
    <w:p w14:paraId="7BBFC865" w14:textId="77777777" w:rsidR="00616F93" w:rsidRDefault="00000000">
      <w:r>
        <w:br w:type="page"/>
      </w:r>
    </w:p>
    <w:p w14:paraId="0777CDD2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lastRenderedPageBreak/>
        <w:t>6. Otros temas a mencionar en la cita</w:t>
      </w:r>
    </w:p>
    <w:p w14:paraId="1A1F9FF9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Limitación meteorológica / sectores críticos</w:t>
      </w:r>
    </w:p>
    <w:p w14:paraId="4A48CD27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Usuarios de agro, aviación o naval podrían tomar decisiones operativas. Hace falta lenguaje fuerte de “información / apoyo”, no “asesoramiento”, y remisión a fuentes oficiales.</w:t>
      </w:r>
    </w:p>
    <w:p w14:paraId="65F325C3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Inteligencia artificial</w:t>
      </w:r>
    </w:p>
    <w:p w14:paraId="3BFC8674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El chat y reportes con IA no garantizan exactitud; no deben usarse como única fuente; el usuario no debería pegar secretos en el chat. Conviene cláusula explícita (ya esbozada en Términos).</w:t>
      </w:r>
    </w:p>
    <w:p w14:paraId="61BED719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Menores</w:t>
      </w:r>
    </w:p>
    <w:p w14:paraId="714EB471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Edad mínima 18 (o tutor). El servicio no está pensado para menores.</w:t>
      </w:r>
    </w:p>
    <w:p w14:paraId="736D5580" w14:textId="77777777" w:rsidR="00616F93" w:rsidRDefault="00000000">
      <w:pPr>
        <w:spacing w:after="120"/>
      </w:pPr>
      <w:r>
        <w:rPr>
          <w:rFonts w:ascii="Calibri" w:eastAsia="Calibri" w:hAnsi="Calibri"/>
          <w:b/>
          <w:color w:val="1E293B"/>
          <w:sz w:val="24"/>
        </w:rPr>
        <w:t>API de usuario</w:t>
      </w:r>
    </w:p>
    <w:p w14:paraId="4475F27B" w14:textId="77777777" w:rsidR="00616F93" w:rsidRDefault="00000000">
      <w:pPr>
        <w:spacing w:after="160"/>
      </w:pPr>
      <w:r>
        <w:rPr>
          <w:rFonts w:ascii="Calibri" w:eastAsia="Calibri" w:hAnsi="Calibri"/>
          <w:color w:val="1E293B"/>
        </w:rPr>
        <w:t>Existen claves API. Más adelante pueden hacer falta términos específicos de uso de API (límites, no redistribución). Hoy puede vivir como sección de Términos.</w:t>
      </w:r>
    </w:p>
    <w:p w14:paraId="7BE43092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t>7. Tabla rápida: problema → corrección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616F93" w14:paraId="0D627860" w14:textId="77777777">
        <w:tc>
          <w:tcPr>
            <w:tcW w:w="3249" w:type="dxa"/>
            <w:shd w:val="clear" w:color="auto" w:fill="0F172A"/>
          </w:tcPr>
          <w:p w14:paraId="7C2853B6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Problema</w:t>
            </w:r>
          </w:p>
        </w:tc>
        <w:tc>
          <w:tcPr>
            <w:tcW w:w="3249" w:type="dxa"/>
            <w:shd w:val="clear" w:color="auto" w:fill="0F172A"/>
          </w:tcPr>
          <w:p w14:paraId="322064EE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Corrección legal</w:t>
            </w:r>
          </w:p>
        </w:tc>
        <w:tc>
          <w:tcPr>
            <w:tcW w:w="3249" w:type="dxa"/>
            <w:shd w:val="clear" w:color="auto" w:fill="0F172A"/>
          </w:tcPr>
          <w:p w14:paraId="1FCCC306" w14:textId="77777777" w:rsidR="00616F93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Corrección producto</w:t>
            </w:r>
          </w:p>
        </w:tc>
      </w:tr>
      <w:tr w:rsidR="00616F93" w14:paraId="7CBC86DB" w14:textId="77777777">
        <w:tc>
          <w:tcPr>
            <w:tcW w:w="3249" w:type="dxa"/>
          </w:tcPr>
          <w:p w14:paraId="15B0C163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Cookies / AdSense desalineados</w:t>
            </w:r>
          </w:p>
        </w:tc>
        <w:tc>
          <w:tcPr>
            <w:tcW w:w="3249" w:type="dxa"/>
          </w:tcPr>
          <w:p w14:paraId="38F7A385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Política de Cookies + Privacidad actualizadas</w:t>
            </w:r>
          </w:p>
        </w:tc>
        <w:tc>
          <w:tcPr>
            <w:tcW w:w="3249" w:type="dxa"/>
          </w:tcPr>
          <w:p w14:paraId="0F48F3C5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Inventario; banner AR si aplica; no mentir en el texto</w:t>
            </w:r>
          </w:p>
        </w:tc>
      </w:tr>
      <w:tr w:rsidR="00616F93" w14:paraId="26103D26" w14:textId="77777777">
        <w:tc>
          <w:tcPr>
            <w:tcW w:w="3249" w:type="dxa"/>
          </w:tcPr>
          <w:p w14:paraId="678E8BE6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Pagos en test / sin marco</w:t>
            </w:r>
          </w:p>
        </w:tc>
        <w:tc>
          <w:tcPr>
            <w:tcW w:w="3249" w:type="dxa"/>
          </w:tcPr>
          <w:p w14:paraId="6299D8A2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Términos de pago + Reembolsos + quién factura</w:t>
            </w:r>
          </w:p>
        </w:tc>
        <w:tc>
          <w:tcPr>
            <w:tcW w:w="3249" w:type="dxa"/>
          </w:tcPr>
          <w:p w14:paraId="4318B623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LS/PayPal/MP Live; plazos transferencia; soporte</w:t>
            </w:r>
          </w:p>
        </w:tc>
      </w:tr>
      <w:tr w:rsidR="00616F93" w14:paraId="698E0319" w14:textId="77777777">
        <w:tc>
          <w:tcPr>
            <w:tcW w:w="3249" w:type="dxa"/>
          </w:tcPr>
          <w:p w14:paraId="5806ABE0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Privacidad genérica / falsa</w:t>
            </w:r>
          </w:p>
        </w:tc>
        <w:tc>
          <w:tcPr>
            <w:tcW w:w="3249" w:type="dxa"/>
          </w:tcPr>
          <w:p w14:paraId="12FC9EBF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Política real (datos, encargados, derechos)</w:t>
            </w:r>
          </w:p>
        </w:tc>
        <w:tc>
          <w:tcPr>
            <w:tcW w:w="3249" w:type="dxa"/>
          </w:tcPr>
          <w:p w14:paraId="0062CE39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Baja de cuenta; coherencia con features</w:t>
            </w:r>
          </w:p>
        </w:tc>
      </w:tr>
      <w:tr w:rsidR="00616F93" w14:paraId="4A614CF2" w14:textId="77777777">
        <w:tc>
          <w:tcPr>
            <w:tcW w:w="3249" w:type="dxa"/>
          </w:tcPr>
          <w:p w14:paraId="0819BE3D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Sin identidad del prestador</w:t>
            </w:r>
          </w:p>
        </w:tc>
        <w:tc>
          <w:tcPr>
            <w:tcW w:w="3249" w:type="dxa"/>
          </w:tcPr>
          <w:p w14:paraId="5EA3D817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Completar CUIT/razón social/domicilio</w:t>
            </w:r>
          </w:p>
        </w:tc>
        <w:tc>
          <w:tcPr>
            <w:tcW w:w="3249" w:type="dxa"/>
          </w:tcPr>
          <w:p w14:paraId="4EA5D175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Footer + facturación</w:t>
            </w:r>
          </w:p>
        </w:tc>
      </w:tr>
      <w:tr w:rsidR="00616F93" w14:paraId="039791BD" w14:textId="77777777">
        <w:tc>
          <w:tcPr>
            <w:tcW w:w="3249" w:type="dxa"/>
          </w:tcPr>
          <w:p w14:paraId="11D1B8C8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Sin aceptación formal</w:t>
            </w:r>
          </w:p>
        </w:tc>
        <w:tc>
          <w:tcPr>
            <w:tcW w:w="3249" w:type="dxa"/>
          </w:tcPr>
          <w:p w14:paraId="35AA9478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Cláusula de aceptación versionada</w:t>
            </w:r>
          </w:p>
        </w:tc>
        <w:tc>
          <w:tcPr>
            <w:tcW w:w="3249" w:type="dxa"/>
          </w:tcPr>
          <w:p w14:paraId="6C0E81D4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Checkbox registro + checkout + log</w:t>
            </w:r>
          </w:p>
        </w:tc>
      </w:tr>
      <w:tr w:rsidR="00616F93" w14:paraId="05778185" w14:textId="77777777">
        <w:tc>
          <w:tcPr>
            <w:tcW w:w="3249" w:type="dxa"/>
          </w:tcPr>
          <w:p w14:paraId="68BEAC8A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Sin reembolsos claros</w:t>
            </w:r>
          </w:p>
        </w:tc>
        <w:tc>
          <w:tcPr>
            <w:tcW w:w="3249" w:type="dxa"/>
          </w:tcPr>
          <w:p w14:paraId="75EE22C4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Política de reembolsos cerrada</w:t>
            </w:r>
          </w:p>
        </w:tc>
        <w:tc>
          <w:tcPr>
            <w:tcW w:w="3249" w:type="dxa"/>
          </w:tcPr>
          <w:p w14:paraId="4BB8A3FA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Proceso de solicitud + casos de falla de activación</w:t>
            </w:r>
          </w:p>
        </w:tc>
      </w:tr>
      <w:tr w:rsidR="00616F93" w14:paraId="309A126A" w14:textId="77777777">
        <w:tc>
          <w:tcPr>
            <w:tcW w:w="3249" w:type="dxa"/>
          </w:tcPr>
          <w:p w14:paraId="54B07AAC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Riesgo uso crítico clima/IA</w:t>
            </w:r>
          </w:p>
        </w:tc>
        <w:tc>
          <w:tcPr>
            <w:tcW w:w="3249" w:type="dxa"/>
          </w:tcPr>
          <w:p w14:paraId="115EEA89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Disclaimer sectorial + cláusula IA</w:t>
            </w:r>
          </w:p>
        </w:tc>
        <w:tc>
          <w:tcPr>
            <w:tcW w:w="3249" w:type="dxa"/>
          </w:tcPr>
          <w:p w14:paraId="01583947" w14:textId="77777777" w:rsidR="00616F93" w:rsidRDefault="00000000">
            <w:r>
              <w:rPr>
                <w:rFonts w:ascii="Calibri" w:eastAsia="Calibri" w:hAnsi="Calibri"/>
                <w:color w:val="1E293B"/>
                <w:sz w:val="16"/>
              </w:rPr>
              <w:t>Avisos en UI de modos PRO / chat</w:t>
            </w:r>
          </w:p>
        </w:tc>
      </w:tr>
    </w:tbl>
    <w:p w14:paraId="21C13A23" w14:textId="77777777" w:rsidR="00616F93" w:rsidRDefault="00000000">
      <w:r>
        <w:br w:type="page"/>
      </w:r>
    </w:p>
    <w:p w14:paraId="0CE01697" w14:textId="77777777" w:rsidR="00616F93" w:rsidRDefault="00000000">
      <w:r>
        <w:rPr>
          <w:rFonts w:ascii="Calibri" w:eastAsia="Calibri" w:hAnsi="Calibri"/>
          <w:b/>
          <w:color w:val="0F172A"/>
          <w:sz w:val="40"/>
        </w:rPr>
        <w:lastRenderedPageBreak/>
        <w:t>8. Qué pedirle al abogado en la cita</w:t>
      </w:r>
    </w:p>
    <w:p w14:paraId="0BCF4DBA" w14:textId="77777777" w:rsidR="00616F93" w:rsidRDefault="00000000">
      <w:r>
        <w:rPr>
          <w:rFonts w:ascii="Calibri" w:eastAsia="Calibri" w:hAnsi="Calibri"/>
          <w:color w:val="1E293B"/>
        </w:rPr>
        <w:t>1. Completar o reescribir los 4 borradores (Términos, Privacidad, Cookies, Reembolsos).</w:t>
      </w:r>
    </w:p>
    <w:p w14:paraId="2AE59082" w14:textId="77777777" w:rsidR="00616F93" w:rsidRDefault="00000000">
      <w:r>
        <w:rPr>
          <w:rFonts w:ascii="Calibri" w:eastAsia="Calibri" w:hAnsi="Calibri"/>
          <w:color w:val="1E293B"/>
        </w:rPr>
        <w:t>2. Definir textos finales de placeholders: razón social, CUIT, domicilio, jurisdicción, emails.</w:t>
      </w:r>
    </w:p>
    <w:p w14:paraId="43E58256" w14:textId="77777777" w:rsidR="00616F93" w:rsidRDefault="00000000">
      <w:r>
        <w:rPr>
          <w:rFonts w:ascii="Calibri" w:eastAsia="Calibri" w:hAnsi="Calibri"/>
          <w:color w:val="1E293B"/>
        </w:rPr>
        <w:t>3. Definir plazo de arrepentimiento / reembolso compatible con Defensa del Consumidor.</w:t>
      </w:r>
    </w:p>
    <w:p w14:paraId="56C5FACA" w14:textId="77777777" w:rsidR="00616F93" w:rsidRDefault="00000000">
      <w:r>
        <w:rPr>
          <w:rFonts w:ascii="Calibri" w:eastAsia="Calibri" w:hAnsi="Calibri"/>
          <w:color w:val="1E293B"/>
        </w:rPr>
        <w:t>4. Definir quién factura en Lemon Squeezy vs TuClima vs MP/PayPal.</w:t>
      </w:r>
    </w:p>
    <w:p w14:paraId="0432FBF1" w14:textId="77777777" w:rsidR="00616F93" w:rsidRDefault="00000000">
      <w:r>
        <w:rPr>
          <w:rFonts w:ascii="Calibri" w:eastAsia="Calibri" w:hAnsi="Calibri"/>
          <w:color w:val="1E293B"/>
        </w:rPr>
        <w:t>5. Indicar si hace falta banner de cookies propio en Argentina además del CMP de Google.</w:t>
      </w:r>
    </w:p>
    <w:p w14:paraId="32F7F6E3" w14:textId="77777777" w:rsidR="00616F93" w:rsidRDefault="00000000">
      <w:r>
        <w:rPr>
          <w:rFonts w:ascii="Calibri" w:eastAsia="Calibri" w:hAnsi="Calibri"/>
          <w:color w:val="1E293B"/>
        </w:rPr>
        <w:t>6. Ajustar techo de responsabilidad y disclaimer meteorológico/IA.</w:t>
      </w:r>
    </w:p>
    <w:p w14:paraId="6DC72DFD" w14:textId="77777777" w:rsidR="00616F93" w:rsidRDefault="00000000">
      <w:r>
        <w:rPr>
          <w:rFonts w:ascii="Calibri" w:eastAsia="Calibri" w:hAnsi="Calibri"/>
          <w:color w:val="1E293B"/>
        </w:rPr>
        <w:t>7. Indicar plazos de respuesta a derechos AR (acceso/supresión) y redacción del procedimiento.</w:t>
      </w:r>
    </w:p>
    <w:p w14:paraId="0D3C46B6" w14:textId="77777777" w:rsidR="00616F93" w:rsidRDefault="00000000">
      <w:pPr>
        <w:spacing w:after="160"/>
      </w:pPr>
      <w:r>
        <w:rPr>
          <w:rFonts w:ascii="Calibri" w:eastAsia="Calibri" w:hAnsi="Calibri"/>
          <w:b/>
          <w:color w:val="0F172A"/>
          <w:sz w:val="28"/>
        </w:rPr>
        <w:t>Qué puede hacer el equipo de producto después</w:t>
      </w:r>
    </w:p>
    <w:p w14:paraId="5C717B13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Publicar textos aprobados en /legal/…</w:t>
      </w:r>
    </w:p>
    <w:p w14:paraId="088B6245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Checkbox + guardado de aceptación.</w:t>
      </w:r>
    </w:p>
    <w:p w14:paraId="6645A6CA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Footer con datos fiscales.</w:t>
      </w:r>
    </w:p>
    <w:p w14:paraId="191C764A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Flujo eliminar cuenta.</w:t>
      </w:r>
    </w:p>
    <w:p w14:paraId="73F2C5BA" w14:textId="77777777" w:rsidR="00616F93" w:rsidRDefault="00000000">
      <w:pPr>
        <w:pStyle w:val="Listaconvietas"/>
        <w:spacing w:after="60"/>
      </w:pPr>
      <w:r>
        <w:rPr>
          <w:rFonts w:ascii="Calibri" w:eastAsia="Calibri" w:hAnsi="Calibri"/>
          <w:color w:val="1E293B"/>
        </w:rPr>
        <w:t>Pasar gateways a Live cuando LS apruebe.</w:t>
      </w:r>
    </w:p>
    <w:p w14:paraId="43987066" w14:textId="77777777" w:rsidR="00616F93" w:rsidRDefault="00000000">
      <w:pPr>
        <w:spacing w:after="160"/>
      </w:pPr>
      <w:r>
        <w:rPr>
          <w:rFonts w:ascii="Calibri" w:eastAsia="Calibri" w:hAnsi="Calibri"/>
          <w:i/>
          <w:color w:val="94A3B8"/>
          <w:sz w:val="18"/>
        </w:rPr>
        <w:t>Fin del documento · Material de apoyo · TuClima · No sustituye dictamen legal</w:t>
      </w:r>
    </w:p>
    <w:sectPr w:rsidR="00616F93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559570">
    <w:abstractNumId w:val="8"/>
  </w:num>
  <w:num w:numId="2" w16cid:durableId="2038191624">
    <w:abstractNumId w:val="6"/>
  </w:num>
  <w:num w:numId="3" w16cid:durableId="1716083349">
    <w:abstractNumId w:val="5"/>
  </w:num>
  <w:num w:numId="4" w16cid:durableId="555044699">
    <w:abstractNumId w:val="4"/>
  </w:num>
  <w:num w:numId="5" w16cid:durableId="880167015">
    <w:abstractNumId w:val="7"/>
  </w:num>
  <w:num w:numId="6" w16cid:durableId="613827607">
    <w:abstractNumId w:val="3"/>
  </w:num>
  <w:num w:numId="7" w16cid:durableId="2067609186">
    <w:abstractNumId w:val="2"/>
  </w:num>
  <w:num w:numId="8" w16cid:durableId="1770419948">
    <w:abstractNumId w:val="1"/>
  </w:num>
  <w:num w:numId="9" w16cid:durableId="190933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D0"/>
    <w:rsid w:val="00034616"/>
    <w:rsid w:val="0006063C"/>
    <w:rsid w:val="0015074B"/>
    <w:rsid w:val="0029639D"/>
    <w:rsid w:val="00326F90"/>
    <w:rsid w:val="00441395"/>
    <w:rsid w:val="00616F93"/>
    <w:rsid w:val="00AA1D8D"/>
    <w:rsid w:val="00B47730"/>
    <w:rsid w:val="00CB0664"/>
    <w:rsid w:val="00E32D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5C75E9"/>
  <w14:defaultImageDpi w14:val="300"/>
  <w15:docId w15:val="{0535DC88-4356-4848-AC42-871CA73B2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7</Pages>
  <Words>1276</Words>
  <Characters>7018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Santino Gioffre</cp:lastModifiedBy>
  <cp:revision>1</cp:revision>
  <dcterms:created xsi:type="dcterms:W3CDTF">2013-12-23T23:15:00Z</dcterms:created>
  <dcterms:modified xsi:type="dcterms:W3CDTF">2026-08-22T17:23:00Z</dcterms:modified>
  <cp:category/>
</cp:coreProperties>
</file>