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color w:val="0F172A"/>
          <w:sz w:val="44"/>
        </w:rPr>
        <w:t>Vacíos legales — TuClima</w:t>
      </w:r>
    </w:p>
    <w:p>
      <w:r>
        <w:rPr>
          <w:rFonts w:ascii="Calibri" w:hAnsi="Calibri" w:eastAsia="Calibri"/>
          <w:b w:val="0"/>
          <w:color w:val="64748B"/>
          <w:sz w:val="20"/>
        </w:rPr>
        <w:t>Auditoría orientativa sobre el estado del código/plantillas. No constituye asesoramiento jurídico. Fuente: /legal/, pricing, pagos, modelos de datos, AdSense/Weglot. Fecha de revisión: agosto 2026.</w:t>
      </w:r>
    </w:p>
    <w:p>
      <w:pPr>
        <w:spacing w:after="120" w:before="0"/>
      </w:pPr>
      <w:r>
        <w:rPr>
          <w:rFonts w:ascii="Calibri" w:hAnsi="Calibri" w:eastAsia="Calibri"/>
          <w:b/>
          <w:color w:val="92400E"/>
          <w:sz w:val="20"/>
        </w:rPr>
        <w:t>AVISO: Este resumen ayuda a priorizar trabajo de producto. Para publicar cobros en Argentina conviene validar con contador y, si es posible, un abogado de consumer/datos personales.</w:t>
      </w:r>
    </w:p>
    <w:p>
      <w:pPr>
        <w:pStyle w:val="Heading2"/>
      </w:pPr>
      <w:r>
        <w:rPr>
          <w:rFonts w:ascii="Calibri" w:hAnsi="Calibri" w:eastAsia="Calibri"/>
          <w:b/>
          <w:color w:val="0F172A"/>
          <w:sz w:val="26"/>
        </w:rPr>
        <w:t>Resumen de prioridad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Críticos: 6  |  Altos: 6  |  Medios: 4</w:t>
      </w:r>
    </w:p>
    <w:p>
      <w:pPr>
        <w:pStyle w:val="Heading2"/>
      </w:pPr>
      <w:r>
        <w:rPr>
          <w:rFonts w:ascii="Calibri" w:hAnsi="Calibri" w:eastAsia="Calibri"/>
          <w:b/>
          <w:color w:val="0F172A"/>
          <w:sz w:val="26"/>
        </w:rPr>
        <w:t>Lo que ya existe (parcial)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Página única en /legal/ con términos genéricos, privacidad incompleta y cookies.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Footer con links Privacidad / Términos / Cookies (todos al mismo documento).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Disclaimer meteorológico básico (“fines informativos”).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Flujos de pago implementados (Lemon Squeezy, PayPal, Mercado Pago, transferencia) pero sin marco contractual de reembolsos/facturación.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CMP de Google AdSense para EEA (consentimiento), sin política de cookies actualizada ni banner propio para AR.</w:t>
      </w:r>
    </w:p>
    <w:p>
      <w:pPr>
        <w:pStyle w:val="Heading2"/>
      </w:pPr>
      <w:r>
        <w:rPr>
          <w:rFonts w:ascii="Calibri" w:hAnsi="Calibri" w:eastAsia="Calibri"/>
          <w:b/>
          <w:color w:val="0F172A"/>
          <w:sz w:val="26"/>
        </w:rPr>
        <w:t>Hallazgos por área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0F172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949"/>
            <w:shd w:fill="0F172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1949"/>
            <w:shd w:fill="0F172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Hallazgo</w:t>
            </w:r>
          </w:p>
        </w:tc>
        <w:tc>
          <w:tcPr>
            <w:tcW w:type="dxa" w:w="1949"/>
            <w:shd w:fill="0F172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1949"/>
            <w:shd w:fill="0F172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Acción sugerida</w:t>
            </w:r>
          </w:p>
        </w:tc>
      </w:tr>
      <w:tr>
        <w:tc>
          <w:tcPr>
            <w:tcW w:type="dxa" w:w="1949"/>
            <w:shd w:fill="FEE2E2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Crítico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Documentos legales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Una sola página /legal/ mezcla Términos, Privacidad y Cookies en ~4 párrafos genéricos. Footer enlaza “Privacidad / Términos / Cookies” al mismo URL.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 cumple expectativa mínima de SaaS con usuarios, pagos y datos personales.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Separar: Términos de Servicio, Política de Privacidad, Política de Cookies con fecha de vigencia y responsable legal.</w:t>
            </w:r>
          </w:p>
        </w:tc>
      </w:tr>
      <w:tr>
        <w:tc>
          <w:tcPr>
            <w:tcW w:type="dxa" w:w="1949"/>
            <w:shd w:fill="FEE2E2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Crítico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Identidad del proveedor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 hay razón social, CUIT/CUIL, domicilio fiscal, email legal ni jurisdicción. “TuClima Labs” aparece sin forma jurídica.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Obligatorio para consumo y facturación; Lemon Squeezy / MP también lo piden.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Definir entidad (monotributo / SRL / etc.), publicar datos en pie y en Términos.</w:t>
            </w:r>
          </w:p>
        </w:tc>
      </w:tr>
      <w:tr>
        <w:tc>
          <w:tcPr>
            <w:tcW w:type="dxa" w:w="1949"/>
            <w:shd w:fill="FEE2E2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Crítico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Aceptación al registrarse / pagar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Registro y checkout no exigen checkbox “Acepto Términos y Privacidad”. No hay evidencia de consentimiento versionado.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Difícil probar aceptación en reclamo o disputa de pago.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Checkbox obligatorio en registro y antes de pagar; guardar fecha + versión.</w:t>
            </w:r>
          </w:p>
        </w:tc>
      </w:tr>
      <w:tr>
        <w:tc>
          <w:tcPr>
            <w:tcW w:type="dxa" w:w="1949"/>
            <w:shd w:fill="FEE2E2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Crítico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Privacidad vs realidad del producto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El texto dice que no se recopila PII y que la geo “no se almacena”. En modelos hay User, email, ubicaciones, alertas, tokens, notas, API keys.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Declaración engañosa; riesgo Ley 25.326 (AR).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Reescribir Privacidad: qué datos, para qué, retención, encargados.</w:t>
            </w:r>
          </w:p>
        </w:tc>
      </w:tr>
      <w:tr>
        <w:tc>
          <w:tcPr>
            <w:tcW w:type="dxa" w:w="1949"/>
            <w:shd w:fill="FEE2E2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Crítico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Pagos y reembolsos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 hay política de reembolso, cancelación, renovación ni prorrateo. Pricing no enlaza Términos.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Chargebacks y reclamos sin marco.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Política de reembolsos; cancelación; renovación automática si aplica.</w:t>
            </w:r>
          </w:p>
        </w:tc>
      </w:tr>
      <w:tr>
        <w:tc>
          <w:tcPr>
            <w:tcW w:type="dxa" w:w="1949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Alto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Cookies / AdSense / Weglot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Legal dice “no usamos cookies publicitarias”. AdSense y Weglot implican cookies/scripts de terceros.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Inconsistencia legal + consentimiento incompleto.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Actualizar Cookies; banner AR+EEA; listar terceros.</w:t>
            </w:r>
          </w:p>
        </w:tc>
      </w:tr>
      <w:tr>
        <w:tc>
          <w:tcPr>
            <w:tcW w:type="dxa" w:w="1949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Alto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Métodos de pago (estado)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Lemon Squeezy en Test mode. PayPal default sandbox. MP puede estar en TEST. Transferencia CVU sin SLA.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Cobros reales frágiles; riesgo de pago sin activación.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LS Live; PayPal live; MP APP_USR; documentar plazos de transferencia.</w:t>
            </w:r>
          </w:p>
        </w:tc>
      </w:tr>
      <w:tr>
        <w:tc>
          <w:tcPr>
            <w:tcW w:type="dxa" w:w="1949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Alto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Facturación fiscal Argentina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 hay factura electrónica AFIP ni aclaración si LS factura en USD desde US.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Obligaciones fiscales; expectativa del cliente argentino.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Definir quién factura (TuClima vs Lemon Squeezy MoR); cómo pedir comprobante.</w:t>
            </w:r>
          </w:p>
        </w:tc>
      </w:tr>
      <w:tr>
        <w:tc>
          <w:tcPr>
            <w:tcW w:type="dxa" w:w="1949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Alto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Limitación de responsabilidad meteorológica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Disclaimer genérico débil para agro, aviación y naval.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Exposición si se atribuye daño a un dato de la plataforma.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Reforzar disclaimer por sector; recomendar fuentes oficiales (SMN, NOTAMs).</w:t>
            </w:r>
          </w:p>
        </w:tc>
      </w:tr>
      <w:tr>
        <w:tc>
          <w:tcPr>
            <w:tcW w:type="dxa" w:w="1949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Alto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IA / tokens / contenido generado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Chat IA, Excel e informes sin términos de uso de IA ni ownership del output.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Outputs tratados como hechos; datos sensibles al modelo.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Cláusula IA: sin garantía; no enviar secretos; límites de tokens.</w:t>
            </w:r>
          </w:p>
        </w:tc>
      </w:tr>
      <w:tr>
        <w:tc>
          <w:tcPr>
            <w:tcW w:type="dxa" w:w="1949"/>
            <w:shd w:fill="FEF3C7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Alto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Derechos del usuario (AR)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 hay procedimiento de acceso, rectificación ni eliminación de cuenta/datos.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Ley de Protección de Datos Personales (AR).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Sección de derechos + formulario “eliminar mi cuenta y datos”.</w:t>
            </w:r>
          </w:p>
        </w:tc>
      </w:tr>
      <w:tr>
        <w:tc>
          <w:tcPr>
            <w:tcW w:type="dxa" w:w="1949"/>
            <w:shd w:fill="E0F2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Medio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Proveedores y subencargados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 se listan Render, Open-Meteo, Google, Weglot, OpenAI/Gemini, n8n, LS, PayPal, MP.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Falta transparencia de transferencias internacionales.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Anexo de encargados del tratamiento en Privacidad.</w:t>
            </w:r>
          </w:p>
        </w:tc>
      </w:tr>
      <w:tr>
        <w:tc>
          <w:tcPr>
            <w:tcW w:type="dxa" w:w="1949"/>
            <w:shd w:fill="E0F2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Medio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Menores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Sin restricción de edad ni aviso de no dirigido a menores.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Riesgo si hay cuentas de menores con pagos.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Edad mínima 18 (o con tutor) en Términos y registro.</w:t>
            </w:r>
          </w:p>
        </w:tc>
      </w:tr>
      <w:tr>
        <w:tc>
          <w:tcPr>
            <w:tcW w:type="dxa" w:w="1949"/>
            <w:shd w:fill="E0F2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Medio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API / claves de usuario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Existe API key de usuario sin términos de uso ni prohibiciones de abuso.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Uso indebido o redistribución de datos.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Términos de API + tratamiento de claves en Privacidad.</w:t>
            </w:r>
          </w:p>
        </w:tc>
      </w:tr>
      <w:tr>
        <w:tc>
          <w:tcPr>
            <w:tcW w:type="dxa" w:w="1949"/>
            <w:shd w:fill="E0F2FE" w:val="clear"/>
          </w:tcPr>
          <w:p>
            <w:r/>
            <w:r>
              <w:rPr>
                <w:rFonts w:ascii="Calibri" w:hAnsi="Calibri" w:eastAsia="Calibri"/>
                <w:b/>
                <w:sz w:val="16"/>
              </w:rPr>
              <w:t>Medio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Alertas / email / marketing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Alertas y reportes por email sin consentimiento granular ni opt-out documentado.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Spam / Ley de datos y buenas prácticas.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Consentimiento por canal + link de baja en cada mail.</w:t>
            </w:r>
          </w:p>
        </w:tc>
      </w:tr>
    </w:tbl>
    <w:p>
      <w:pPr>
        <w:pStyle w:val="Heading2"/>
      </w:pPr>
      <w:r>
        <w:rPr>
          <w:rFonts w:ascii="Calibri" w:hAnsi="Calibri" w:eastAsia="Calibri"/>
          <w:b/>
          <w:color w:val="0F172A"/>
          <w:sz w:val="26"/>
        </w:rPr>
        <w:t>Prioridad sugerida (orden práctico)</w:t>
      </w:r>
    </w:p>
    <w:p>
      <w:pPr>
        <w:spacing w:after="120" w:before="0"/>
      </w:pPr>
      <w:r>
        <w:rPr>
          <w:rFonts w:ascii="Calibri" w:hAnsi="Calibri" w:eastAsia="Calibri"/>
          <w:b/>
          <w:sz w:val="24"/>
        </w:rPr>
        <w:t>Antes de cobrar en vivo</w:t>
      </w:r>
    </w:p>
    <w:p>
      <w:r>
        <w:rPr>
          <w:rFonts w:ascii="Calibri" w:hAnsi="Calibri" w:eastAsia="Calibri"/>
          <w:b w:val="0"/>
          <w:sz w:val="22"/>
        </w:rPr>
        <w:t>1. Identidad fiscal + datos de contacto</w:t>
      </w:r>
    </w:p>
    <w:p>
      <w:r>
        <w:rPr>
          <w:rFonts w:ascii="Calibri" w:hAnsi="Calibri" w:eastAsia="Calibri"/>
          <w:b w:val="0"/>
          <w:sz w:val="22"/>
        </w:rPr>
        <w:t>2. Términos + Privacidad reales (separados)</w:t>
      </w:r>
    </w:p>
    <w:p>
      <w:r>
        <w:rPr>
          <w:rFonts w:ascii="Calibri" w:hAnsi="Calibri" w:eastAsia="Calibri"/>
          <w:b w:val="0"/>
          <w:sz w:val="22"/>
        </w:rPr>
        <w:t>3. Checkbox de aceptación en registro/pago</w:t>
      </w:r>
    </w:p>
    <w:p>
      <w:r>
        <w:rPr>
          <w:rFonts w:ascii="Calibri" w:hAnsi="Calibri" w:eastAsia="Calibri"/>
          <w:b w:val="0"/>
          <w:sz w:val="22"/>
        </w:rPr>
        <w:t>4. Política de reembolso / cancelación</w:t>
      </w:r>
    </w:p>
    <w:p>
      <w:r>
        <w:rPr>
          <w:rFonts w:ascii="Calibri" w:hAnsi="Calibri" w:eastAsia="Calibri"/>
          <w:b w:val="0"/>
          <w:sz w:val="22"/>
        </w:rPr>
        <w:t>5. Alinear cookies con AdSense/Weglot</w:t>
      </w:r>
    </w:p>
    <w:p>
      <w:r>
        <w:rPr>
          <w:rFonts w:ascii="Calibri" w:hAnsi="Calibri" w:eastAsia="Calibri"/>
          <w:b w:val="0"/>
          <w:sz w:val="22"/>
        </w:rPr>
        <w:t>6. LS Live + PayPal live + MP producción</w:t>
      </w:r>
    </w:p>
    <w:p>
      <w:pPr>
        <w:spacing w:after="120" w:before="0"/>
      </w:pPr>
      <w:r>
        <w:rPr>
          <w:rFonts w:ascii="Calibri" w:hAnsi="Calibri" w:eastAsia="Calibri"/>
          <w:b/>
          <w:sz w:val="24"/>
        </w:rPr>
        <w:t>Justo después</w:t>
      </w:r>
    </w:p>
    <w:p>
      <w:r>
        <w:rPr>
          <w:rFonts w:ascii="Calibri" w:hAnsi="Calibri" w:eastAsia="Calibri"/>
          <w:b w:val="0"/>
          <w:sz w:val="22"/>
        </w:rPr>
        <w:t>7. Disclaimer sectorial reforzado (agro/aéreo/naval)</w:t>
      </w:r>
    </w:p>
    <w:p>
      <w:r>
        <w:rPr>
          <w:rFonts w:ascii="Calibri" w:hAnsi="Calibri" w:eastAsia="Calibri"/>
          <w:b w:val="0"/>
          <w:sz w:val="22"/>
        </w:rPr>
        <w:t>8. Cláusula de IA y tokens</w:t>
      </w:r>
    </w:p>
    <w:p>
      <w:r>
        <w:rPr>
          <w:rFonts w:ascii="Calibri" w:hAnsi="Calibri" w:eastAsia="Calibri"/>
          <w:b w:val="0"/>
          <w:sz w:val="22"/>
        </w:rPr>
        <w:t>9. Derechos AR + borrado de cuenta</w:t>
      </w:r>
    </w:p>
    <w:p>
      <w:r>
        <w:rPr>
          <w:rFonts w:ascii="Calibri" w:hAnsi="Calibri" w:eastAsia="Calibri"/>
          <w:b w:val="0"/>
          <w:sz w:val="22"/>
        </w:rPr>
        <w:t>10. Quién factura (MoR LS vs TuClima)</w:t>
      </w:r>
    </w:p>
    <w:p>
      <w:r>
        <w:rPr>
          <w:rFonts w:ascii="Calibri" w:hAnsi="Calibri" w:eastAsia="Calibri"/>
          <w:b w:val="0"/>
          <w:sz w:val="22"/>
        </w:rPr>
        <w:t>11. Términos de API</w:t>
      </w:r>
    </w:p>
    <w:p>
      <w:r>
        <w:rPr>
          <w:rFonts w:ascii="Calibri" w:hAnsi="Calibri" w:eastAsia="Calibri"/>
          <w:b w:val="0"/>
          <w:sz w:val="22"/>
        </w:rPr>
        <w:t>12. Opt-out de alertas/emails</w:t>
      </w:r>
    </w:p>
    <w:p>
      <w:pPr>
        <w:pStyle w:val="Heading2"/>
      </w:pPr>
      <w:r>
        <w:rPr>
          <w:rFonts w:ascii="Calibri" w:hAnsi="Calibri" w:eastAsia="Calibri"/>
          <w:b/>
          <w:color w:val="0F172A"/>
          <w:sz w:val="26"/>
        </w:rPr>
        <w:t>Contradicciones a corregir ya en el texto legal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Texto vs producto: “No almacenamos geolocalización” vs ubicaciones favoritas / alertas en DB.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Cookies: “Sin cookies publicitarias” vs AdSense (y Weglot preparado).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PII: “No recopilamos PII” vs cuentas, emails, historial, API keys.</w:t>
      </w:r>
    </w:p>
    <w:p>
      <w:r>
        <w:rPr>
          <w:rFonts w:ascii="Calibri" w:hAnsi="Calibri" w:eastAsia="Calibri"/>
          <w:b w:val="0"/>
          <w:color w:val="94A3B8"/>
          <w:sz w:val="18"/>
        </w:rPr>
        <w:t>Documento generado a partir del código de TuClima · no sustituye dictamen legal.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