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5B6"/>
          <w:sz w:val="52"/>
          <w:szCs w:val="52"/>
        </w:rPr>
        <w:t xml:space="preserve">Automated Negotiation</w:t>
      </w:r>
    </w:p>
    <w:p>
      <w:pPr>
        <w:spacing w:after="80"/>
        <w:jc w:val="center"/>
      </w:pPr>
      <w:r>
        <w:rPr>
          <w:rFonts w:ascii="Arial" w:cs="Arial" w:eastAsia="Arial" w:hAnsi="Arial"/>
          <w:color w:val="1F4E79"/>
          <w:sz w:val="32"/>
          <w:szCs w:val="32"/>
        </w:rPr>
        <w:t xml:space="preserve">Group Assignment Report</w:t>
      </w:r>
    </w:p>
    <w:p>
      <w:pPr>
        <w:spacing w:after="480"/>
        <w:jc w:val="center"/>
      </w:pPr>
      <w:r>
        <w:rPr>
          <w:rFonts w:ascii="Arial" w:cs="Arial" w:eastAsia="Arial" w:hAnsi="Arial"/>
          <w:color w:val="555555"/>
          <w:sz w:val="22"/>
          <w:szCs w:val="22"/>
        </w:rPr>
        <w:t xml:space="preserve">June 2026</w:t>
      </w:r>
    </w:p>
    <w:p>
      <w:pPr>
        <w:pBdr>
          <w:bottom w:val="single" w:color="2E75B6" w:sz="6" w:space="1"/>
        </w:pBdr>
      </w:pPr>
      <w:r>
        <w:t xml:space="preserve"/>
      </w:r>
    </w:p>
    <w:p>
      <w:pPr>
        <w:spacing w:after="80"/>
      </w:pPr>
      <w:r>
        <w:t xml:space="preserve"/>
      </w:r>
    </w:p>
    <w:p>
      <w:pPr>
        <w:pStyle w:val="Heading1"/>
        <w:spacing w:after="120" w:before="320"/>
      </w:pPr>
      <w:r>
        <w:rPr>
          <w:rFonts w:ascii="Arial" w:cs="Arial" w:eastAsia="Arial" w:hAnsi="Arial"/>
          <w:b/>
          <w:bCs/>
          <w:color w:val="2E75B6"/>
          <w:sz w:val="28"/>
          <w:szCs w:val="28"/>
        </w:rPr>
        <w:t xml:space="preserve">1. Introduction</w:t>
      </w:r>
    </w:p>
    <w:p>
      <w:pPr>
        <w:spacing w:after="160"/>
      </w:pPr>
      <w:r>
        <w:rPr>
          <w:rFonts w:ascii="Arial" w:cs="Arial" w:eastAsia="Arial" w:hAnsi="Arial"/>
          <w:sz w:val="20"/>
          <w:szCs w:val="20"/>
        </w:rPr>
        <w:t xml:space="preserve">This report describes the design, implementation, and evaluation of negotiating agents built using the negosimulator v0.5 framework. The goal was to implement and compare multiple agents with different strategies, run a round-robin tournament across a variety of negotiation domains, and select the best-performing agent for the final competition. We tested seven agents in total -- five based on existing framework strategies with varied parameters, and two original agents (PhoenixAgent and VortexAgent) that combine real opponent modeling with enhanced bidding and acceptance strategies. The tournament comprised 1,176 negotiations across 7 agents, 8 domains, and 3 repetitions per matchup.</w:t>
      </w:r>
    </w:p>
    <w:p>
      <w:pPr>
        <w:pStyle w:val="Heading1"/>
        <w:spacing w:after="120" w:before="320"/>
      </w:pPr>
      <w:r>
        <w:rPr>
          <w:rFonts w:ascii="Arial" w:cs="Arial" w:eastAsia="Arial" w:hAnsi="Arial"/>
          <w:b/>
          <w:bCs/>
          <w:color w:val="2E75B6"/>
          <w:sz w:val="28"/>
          <w:szCs w:val="28"/>
        </w:rPr>
        <w:t xml:space="preserve">2. Agents Tested</w:t>
      </w:r>
    </w:p>
    <w:p>
      <w:pPr>
        <w:spacing w:after="160"/>
      </w:pPr>
      <w:r>
        <w:rPr>
          <w:rFonts w:ascii="Arial" w:cs="Arial" w:eastAsia="Arial" w:hAnsi="Arial"/>
          <w:sz w:val="20"/>
          <w:szCs w:val="20"/>
        </w:rPr>
        <w:t xml:space="preserve">The table below summarises all seven agents. The first five use existing framework strategies with parameter variations; the last two are original implementations.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300"/>
        <w:gridCol w:w="1500"/>
        <w:gridCol w:w="1700"/>
        <w:gridCol w:w="1526"/>
      </w:tblGrid>
      <w:tr>
        <w:trPr>
          <w:tblHeader/>
        </w:trPr>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Bidding</w:t>
            </w:r>
          </w:p>
        </w:tc>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Acceptance</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Opp. Model</w:t>
            </w:r>
          </w:p>
        </w:tc>
        <w:tc>
          <w:tcPr>
            <w:tcW w:type="dxa" w:w="15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Parameters</w:t>
            </w:r>
          </w:p>
        </w:tc>
      </w:tr>
      <w:tr>
        <w:tc>
          <w:tcPr>
            <w:tcW w:type="dxa" w:w="1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RandomAgent</w:t>
            </w:r>
          </w:p>
        </w:tc>
        <w:tc>
          <w:tcPr>
            <w:tcW w:type="dxa" w:w="11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Baseline</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Random</w:t>
            </w:r>
          </w:p>
        </w:tc>
        <w:tc>
          <w:tcPr>
            <w:tcW w:type="dxa" w:w="15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Random (1%)</w:t>
            </w:r>
          </w:p>
        </w:tc>
        <w:tc>
          <w:tcPr>
            <w:tcW w:type="dxa" w:w="17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None</w:t>
            </w:r>
          </w:p>
        </w:tc>
        <w:tc>
          <w:tcPr>
            <w:tcW w:type="dxa" w:w="15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TimeBased_Boulware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Time-based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Boulware (b=0.10)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Aspiration threshold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Dummy (true util)</w:t>
            </w:r>
          </w:p>
        </w:tc>
        <w:tc>
          <w:tcPr>
            <w:tcW w:type="dxa" w:w="1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init=1.0, target=rv</w:t>
            </w:r>
          </w:p>
        </w:tc>
      </w:tr>
      <w:tr>
        <w:tc>
          <w:tcPr>
            <w:tcW w:type="dxa" w:w="1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TimeBased_Conceder</w:t>
            </w:r>
          </w:p>
        </w:tc>
        <w:tc>
          <w:tcPr>
            <w:tcW w:type="dxa" w:w="11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Time-based</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Conceder (b=5.00)</w:t>
            </w:r>
          </w:p>
        </w:tc>
        <w:tc>
          <w:tcPr>
            <w:tcW w:type="dxa" w:w="15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Aspiration threshold</w:t>
            </w:r>
          </w:p>
        </w:tc>
        <w:tc>
          <w:tcPr>
            <w:tcW w:type="dxa" w:w="17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Dummy (true util)</w:t>
            </w:r>
          </w:p>
        </w:tc>
        <w:tc>
          <w:tcPr>
            <w:tcW w:type="dxa" w:w="15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init=1.0, target=rv</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AdaptiveAgent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Adaptive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Dynamic target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Aspiration threshold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Dummy + Strategy model</w:t>
            </w:r>
          </w:p>
        </w:tc>
        <w:tc>
          <w:tcPr>
            <w:tcW w:type="dxa" w:w="1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concession=0.5</w:t>
            </w:r>
          </w:p>
        </w:tc>
      </w:tr>
      <w:tr>
        <w:tc>
          <w:tcPr>
            <w:tcW w:type="dxa" w:w="1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MiCROAgent</w:t>
            </w:r>
          </w:p>
        </w:tc>
        <w:tc>
          <w:tcPr>
            <w:tcW w:type="dxa" w:w="11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MiCRO</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Mirror opp count</w:t>
            </w:r>
          </w:p>
        </w:tc>
        <w:tc>
          <w:tcPr>
            <w:tcW w:type="dxa" w:w="15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Acceptance threshold</w:t>
            </w:r>
          </w:p>
        </w:tc>
        <w:tc>
          <w:tcPr>
            <w:tcW w:type="dxa" w:w="17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None (counts only)</w:t>
            </w:r>
          </w:p>
        </w:tc>
        <w:tc>
          <w:tcPr>
            <w:tcW w:type="dxa" w:w="15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PhoenixAgent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Custom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Boulware (b=0.15)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Asp. + panic @95%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FrequencyAnalysis</w:t>
            </w:r>
          </w:p>
        </w:tc>
        <w:tc>
          <w:tcPr>
            <w:tcW w:type="dxa" w:w="1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min_target=0.3</w:t>
            </w:r>
          </w:p>
        </w:tc>
      </w:tr>
      <w:tr>
        <w:tc>
          <w:tcPr>
            <w:tcW w:type="dxa" w:w="1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VortexAgent</w:t>
            </w:r>
          </w:p>
        </w:tc>
        <w:tc>
          <w:tcPr>
            <w:tcW w:type="dxa" w:w="11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Custom</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Adaptive Boulware</w:t>
            </w:r>
          </w:p>
        </w:tc>
        <w:tc>
          <w:tcPr>
            <w:tcW w:type="dxa" w:w="15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Fwd-looking + panic</w:t>
            </w:r>
          </w:p>
        </w:tc>
        <w:tc>
          <w:tcPr>
            <w:tcW w:type="dxa" w:w="17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Freq.Analysis (wtd)</w:t>
            </w:r>
          </w:p>
        </w:tc>
        <w:tc>
          <w:tcPr>
            <w:tcW w:type="dxa" w:w="15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concession=0.2</w:t>
            </w:r>
          </w:p>
        </w:tc>
      </w:tr>
    </w:tbl>
    <w:p>
      <w:pPr>
        <w:spacing w:after="80"/>
      </w:pPr>
      <w:r>
        <w:t xml:space="preserve"/>
      </w:r>
    </w:p>
    <w:p>
      <w:pPr>
        <w:pStyle w:val="Heading2"/>
        <w:spacing w:after="80" w:before="200"/>
      </w:pPr>
      <w:r>
        <w:rPr>
          <w:rFonts w:ascii="Arial" w:cs="Arial" w:eastAsia="Arial" w:hAnsi="Arial"/>
          <w:b/>
          <w:bCs/>
          <w:color w:val="1F4E79"/>
          <w:sz w:val="22"/>
          <w:szCs w:val="22"/>
        </w:rPr>
        <w:t xml:space="preserve">2.1 RandomAgent (Baseline)</w:t>
      </w:r>
    </w:p>
    <w:p>
      <w:pPr>
        <w:spacing w:after="160"/>
      </w:pPr>
      <w:r>
        <w:rPr>
          <w:rFonts w:ascii="Arial" w:cs="Arial" w:eastAsia="Arial" w:hAnsi="Arial"/>
          <w:sz w:val="20"/>
          <w:szCs w:val="20"/>
        </w:rPr>
        <w:t xml:space="preserve">Selects a uniformly random offer each round and accepts with 1% probability. Included purely as a performance baseline.</w:t>
      </w:r>
    </w:p>
    <w:p>
      <w:pPr>
        <w:pStyle w:val="Heading2"/>
        <w:spacing w:after="80" w:before="200"/>
      </w:pPr>
      <w:r>
        <w:rPr>
          <w:rFonts w:ascii="Arial" w:cs="Arial" w:eastAsia="Arial" w:hAnsi="Arial"/>
          <w:b/>
          <w:bCs/>
          <w:color w:val="1F4E79"/>
          <w:sz w:val="22"/>
          <w:szCs w:val="22"/>
        </w:rPr>
        <w:t xml:space="preserve">2.2 TimeBased_Boulware</w:t>
      </w:r>
    </w:p>
    <w:p>
      <w:pPr>
        <w:spacing w:after="160"/>
      </w:pPr>
      <w:r>
        <w:rPr>
          <w:rFonts w:ascii="Arial" w:cs="Arial" w:eastAsia="Arial" w:hAnsi="Arial"/>
          <w:sz w:val="20"/>
          <w:szCs w:val="20"/>
        </w:rPr>
        <w:t xml:space="preserve">Uses the time-based aspiration function with concession parameter b = 0.10 (Boulware style). Stays near maximum utility for most of the deadline, then concedes rapidly in the final seconds. Uses DummyOpponentUtilityModel (cheats by accessing the true utility function -- a simulation shortcut not available in a real tournament).</w:t>
      </w:r>
    </w:p>
    <w:p>
      <w:pPr>
        <w:pStyle w:val="Heading2"/>
        <w:spacing w:after="80" w:before="200"/>
      </w:pPr>
      <w:r>
        <w:rPr>
          <w:rFonts w:ascii="Arial" w:cs="Arial" w:eastAsia="Arial" w:hAnsi="Arial"/>
          <w:b/>
          <w:bCs/>
          <w:color w:val="1F4E79"/>
          <w:sz w:val="22"/>
          <w:szCs w:val="22"/>
        </w:rPr>
        <w:t xml:space="preserve">2.3 TimeBased_Conceder</w:t>
      </w:r>
    </w:p>
    <w:p>
      <w:pPr>
        <w:spacing w:after="160"/>
      </w:pPr>
      <w:r>
        <w:rPr>
          <w:rFonts w:ascii="Arial" w:cs="Arial" w:eastAsia="Arial" w:hAnsi="Arial"/>
          <w:sz w:val="20"/>
          <w:szCs w:val="20"/>
        </w:rPr>
        <w:t xml:space="preserve">Same framework as TimeBased_Boulware but with b = 5.00 (Conceder style). Concedes rapidly early on, ensuring near-100% agreement rate but at the cost of lower utility, since tough opponents can extract most of the surplus.</w:t>
      </w:r>
    </w:p>
    <w:p>
      <w:pPr>
        <w:pStyle w:val="Heading2"/>
        <w:spacing w:after="80" w:before="200"/>
      </w:pPr>
      <w:r>
        <w:rPr>
          <w:rFonts w:ascii="Arial" w:cs="Arial" w:eastAsia="Arial" w:hAnsi="Arial"/>
          <w:b/>
          <w:bCs/>
          <w:color w:val="1F4E79"/>
          <w:sz w:val="22"/>
          <w:szCs w:val="22"/>
        </w:rPr>
        <w:t xml:space="preserve">2.4 AdaptiveAgent</w:t>
      </w:r>
    </w:p>
    <w:p>
      <w:pPr>
        <w:spacing w:after="160"/>
      </w:pPr>
      <w:r>
        <w:rPr>
          <w:rFonts w:ascii="Arial" w:cs="Arial" w:eastAsia="Arial" w:hAnsi="Arial"/>
          <w:sz w:val="20"/>
          <w:szCs w:val="20"/>
        </w:rPr>
        <w:t xml:space="preserve">Uses SimpleOpponentStrategyModel to predict how far the opponent will concede by the deadline and sets its target value dynamically. This allows it to stay tough when the opponent is tough and concede appropriately when the opponent is generous. Also uses DummyOpponentUtilityModel.</w:t>
      </w:r>
    </w:p>
    <w:p>
      <w:pPr>
        <w:pStyle w:val="Heading2"/>
        <w:spacing w:after="80" w:before="200"/>
      </w:pPr>
      <w:r>
        <w:rPr>
          <w:rFonts w:ascii="Arial" w:cs="Arial" w:eastAsia="Arial" w:hAnsi="Arial"/>
          <w:b/>
          <w:bCs/>
          <w:color w:val="1F4E79"/>
          <w:sz w:val="22"/>
          <w:szCs w:val="22"/>
        </w:rPr>
        <w:t xml:space="preserve">2.5 MiCROAgent</w:t>
      </w:r>
    </w:p>
    <w:p>
      <w:pPr>
        <w:spacing w:after="160"/>
      </w:pPr>
      <w:r>
        <w:rPr>
          <w:rFonts w:ascii="Arial" w:cs="Arial" w:eastAsia="Arial" w:hAnsi="Arial"/>
          <w:sz w:val="20"/>
          <w:szCs w:val="20"/>
        </w:rPr>
        <w:t xml:space="preserve">Implements the MiCRO protocol: concedes only when the opponent has made at least as many unique proposals as the agent itself. No opponent utility model is used. Concession is tied to offer count rather than time, making it robust to time-pressure exploitation and naturally producing very consistent results (lowest standard error: 0.0116).</w:t>
      </w:r>
    </w:p>
    <w:p>
      <w:pPr>
        <w:pStyle w:val="Heading2"/>
        <w:spacing w:after="80" w:before="200"/>
      </w:pPr>
      <w:r>
        <w:rPr>
          <w:rFonts w:ascii="Arial" w:cs="Arial" w:eastAsia="Arial" w:hAnsi="Arial"/>
          <w:b/>
          <w:bCs/>
          <w:color w:val="1F4E79"/>
          <w:sz w:val="22"/>
          <w:szCs w:val="22"/>
        </w:rPr>
        <w:t xml:space="preserve">2.6 PhoenixAgent (Custom)</w:t>
      </w:r>
    </w:p>
    <w:p>
      <w:pPr>
        <w:spacing w:after="160"/>
      </w:pPr>
      <w:r>
        <w:rPr>
          <w:rFonts w:ascii="Arial" w:cs="Arial" w:eastAsia="Arial" w:hAnsi="Arial"/>
          <w:sz w:val="20"/>
          <w:szCs w:val="20"/>
        </w:rPr>
        <w:t xml:space="preserve">Our first custom agent, with three key design choices:</w:t>
      </w:r>
    </w:p>
    <w:p>
      <w:pPr>
        <w:pStyle w:val="ListParagraph"/>
        <w:numPr>
          <w:ilvl w:val="0"/>
          <w:numId w:val="2"/>
        </w:numPr>
        <w:spacing w:after="80"/>
      </w:pPr>
      <w:r>
        <w:rPr>
          <w:rFonts w:ascii="Arial" w:cs="Arial" w:eastAsia="Arial" w:hAnsi="Arial"/>
          <w:sz w:val="20"/>
          <w:szCs w:val="20"/>
        </w:rPr>
        <w:t xml:space="preserve">Opponent model: FrequencyAnalysis -- estimates opponent utility from the frequency of options in their proposals. No access to the true utility function.</w:t>
      </w:r>
    </w:p>
    <w:p>
      <w:pPr>
        <w:pStyle w:val="ListParagraph"/>
        <w:numPr>
          <w:ilvl w:val="0"/>
          <w:numId w:val="2"/>
        </w:numPr>
        <w:spacing w:after="80"/>
      </w:pPr>
      <w:r>
        <w:rPr>
          <w:rFonts w:ascii="Arial" w:cs="Arial" w:eastAsia="Arial" w:hAnsi="Arial"/>
          <w:sz w:val="20"/>
          <w:szCs w:val="20"/>
        </w:rPr>
        <w:t xml:space="preserve">Bidding: Boulware concession (b=0.15) with Nash product maximisation -- among all offers above the aspiration level, selects the one maximising (my utility x estimated opponent utility), steering proposals toward the Pareto frontier.</w:t>
      </w:r>
    </w:p>
    <w:p>
      <w:pPr>
        <w:pStyle w:val="ListParagraph"/>
        <w:numPr>
          <w:ilvl w:val="0"/>
          <w:numId w:val="2"/>
        </w:numPr>
        <w:spacing w:after="80"/>
      </w:pPr>
      <w:r>
        <w:rPr>
          <w:rFonts w:ascii="Arial" w:cs="Arial" w:eastAsia="Arial" w:hAnsi="Arial"/>
          <w:sz w:val="20"/>
          <w:szCs w:val="20"/>
        </w:rPr>
        <w:t xml:space="preserve">Acceptance: accepts if the received offer meets the aspiration level and is at least as good as our planned next proposal. Panic acceptance (accept anything above reservation value) activates at 95% of the deadline to avoid no-deal outcomes.</w:t>
      </w:r>
    </w:p>
    <w:p>
      <w:pPr>
        <w:spacing w:after="80"/>
      </w:pPr>
      <w:r>
        <w:t xml:space="preserve"/>
      </w:r>
    </w:p>
    <w:p>
      <w:pPr>
        <w:pStyle w:val="Heading2"/>
        <w:spacing w:after="80" w:before="200"/>
      </w:pPr>
      <w:r>
        <w:rPr>
          <w:rFonts w:ascii="Arial" w:cs="Arial" w:eastAsia="Arial" w:hAnsi="Arial"/>
          <w:b/>
          <w:bCs/>
          <w:color w:val="1F4E79"/>
          <w:sz w:val="22"/>
          <w:szCs w:val="22"/>
        </w:rPr>
        <w:t xml:space="preserve">2.7 VortexAgent (Final Submission)</w:t>
      </w:r>
    </w:p>
    <w:p>
      <w:pPr>
        <w:spacing w:after="160"/>
      </w:pPr>
      <w:r>
        <w:rPr>
          <w:rFonts w:ascii="Arial" w:cs="Arial" w:eastAsia="Arial" w:hAnsi="Arial"/>
          <w:sz w:val="20"/>
          <w:szCs w:val="20"/>
        </w:rPr>
        <w:t xml:space="preserve">Our final agent, extending PhoenixAgent with five additional improvements:</w:t>
      </w:r>
    </w:p>
    <w:p>
      <w:pPr>
        <w:pStyle w:val="ListParagraph"/>
        <w:numPr>
          <w:ilvl w:val="0"/>
          <w:numId w:val="2"/>
        </w:numPr>
        <w:spacing w:after="80"/>
      </w:pPr>
      <w:r>
        <w:rPr>
          <w:rFonts w:ascii="Arial" w:cs="Arial" w:eastAsia="Arial" w:hAnsi="Arial"/>
          <w:sz w:val="20"/>
          <w:szCs w:val="20"/>
        </w:rPr>
        <w:t xml:space="preserve">Time-weighted FrequencyAnalysis: more recent proposals receive proportionally higher weight (proposal k gets weight k), since opponents reveal their true preferences more clearly over time. Weights are normalised to sum to 1, making Nash product comparisons more meaningful.</w:t>
      </w:r>
    </w:p>
    <w:p>
      <w:pPr>
        <w:pStyle w:val="ListParagraph"/>
        <w:numPr>
          <w:ilvl w:val="0"/>
          <w:numId w:val="2"/>
        </w:numPr>
        <w:spacing w:after="80"/>
      </w:pPr>
      <w:r>
        <w:rPr>
          <w:rFonts w:ascii="Arial" w:cs="Arial" w:eastAsia="Arial" w:hAnsi="Arial"/>
          <w:sz w:val="20"/>
          <w:szCs w:val="20"/>
        </w:rPr>
        <w:t xml:space="preserve">Regression-based strategy model: fits OLS linear regression to all (time, utility) pairs from the opponent's proposals to predict future concessions. More accurate than the simple max-extrapolation in SimpleOpponentStrategyModel, especially when the opponent concedes non-linearly.</w:t>
      </w:r>
    </w:p>
    <w:p>
      <w:pPr>
        <w:pStyle w:val="ListParagraph"/>
        <w:numPr>
          <w:ilvl w:val="0"/>
          <w:numId w:val="2"/>
        </w:numPr>
        <w:spacing w:after="80"/>
      </w:pPr>
      <w:r>
        <w:rPr>
          <w:rFonts w:ascii="Arial" w:cs="Arial" w:eastAsia="Arial" w:hAnsi="Arial"/>
          <w:sz w:val="20"/>
          <w:szCs w:val="20"/>
        </w:rPr>
        <w:t xml:space="preserve">Reproposing: before proposing a new lower-utility offer, checks whether any offer at exactly the same utility level was already proposed by the opponent. If found, proposes that one instead -- it costs us nothing utility-wise but is more likely to be accepted immediately.</w:t>
      </w:r>
    </w:p>
    <w:p>
      <w:pPr>
        <w:pStyle w:val="ListParagraph"/>
        <w:numPr>
          <w:ilvl w:val="0"/>
          <w:numId w:val="2"/>
        </w:numPr>
        <w:spacing w:after="80"/>
      </w:pPr>
      <w:r>
        <w:rPr>
          <w:rFonts w:ascii="Arial" w:cs="Arial" w:eastAsia="Arial" w:hAnsi="Arial"/>
          <w:sz w:val="20"/>
          <w:szCs w:val="20"/>
        </w:rPr>
        <w:t xml:space="preserve">Forward-looking acceptance: if the regression model predicts the opponent will not improve significantly by the deadline, and the received offer meets the aspiration level, accepts now. Gated by requiring at least 5 data points and 20% of the deadline elapsed, to prevent premature acceptance early in the negotiation.</w:t>
      </w:r>
    </w:p>
    <w:p>
      <w:pPr>
        <w:pStyle w:val="ListParagraph"/>
        <w:numPr>
          <w:ilvl w:val="0"/>
          <w:numId w:val="2"/>
        </w:numPr>
        <w:spacing w:after="80"/>
      </w:pPr>
      <w:r>
        <w:rPr>
          <w:rFonts w:ascii="Arial" w:cs="Arial" w:eastAsia="Arial" w:hAnsi="Arial"/>
          <w:sz w:val="20"/>
          <w:szCs w:val="20"/>
        </w:rPr>
        <w:t xml:space="preserve">Self-mirroring: tracks own concession speed versus the opponent's. If we concede more than twice as fast, raises the target value to slow down and avoid exploitation.</w:t>
      </w:r>
    </w:p>
    <w:p>
      <w:pPr>
        <w:spacing w:after="80"/>
      </w:pPr>
      <w:r>
        <w:t xml:space="preserve"/>
      </w:r>
    </w:p>
    <w:p>
      <w:pPr>
        <w:pStyle w:val="Heading1"/>
        <w:spacing w:after="120" w:before="320"/>
      </w:pPr>
      <w:r>
        <w:rPr>
          <w:rFonts w:ascii="Arial" w:cs="Arial" w:eastAsia="Arial" w:hAnsi="Arial"/>
          <w:b/>
          <w:bCs/>
          <w:color w:val="2E75B6"/>
          <w:sz w:val="28"/>
          <w:szCs w:val="28"/>
        </w:rPr>
        <w:t xml:space="preserve">3. Negotiation Domains</w:t>
      </w:r>
    </w:p>
    <w:p>
      <w:pPr>
        <w:spacing w:after="160"/>
      </w:pPr>
      <w:r>
        <w:rPr>
          <w:rFonts w:ascii="Arial" w:cs="Arial" w:eastAsia="Arial" w:hAnsi="Arial"/>
          <w:sz w:val="20"/>
          <w:szCs w:val="20"/>
        </w:rPr>
        <w:t xml:space="preserve">We used eight negotiation domains:</w:t>
      </w:r>
    </w:p>
    <w:p>
      <w:pPr>
        <w:pStyle w:val="ListParagraph"/>
        <w:numPr>
          <w:ilvl w:val="0"/>
          <w:numId w:val="2"/>
        </w:numPr>
        <w:spacing w:after="80"/>
      </w:pPr>
      <w:r>
        <w:rPr>
          <w:rFonts w:ascii="Arial" w:cs="Arial" w:eastAsia="Arial" w:hAnsi="Arial"/>
          <w:sz w:val="20"/>
          <w:szCs w:val="20"/>
        </w:rPr>
        <w:t xml:space="preserve">Car Sale (built-in): 2 issues, 3 options each, 9 offers. Balanced cooperative domain from the framework.</w:t>
      </w:r>
    </w:p>
    <w:p>
      <w:pPr>
        <w:pStyle w:val="ListParagraph"/>
        <w:numPr>
          <w:ilvl w:val="0"/>
          <w:numId w:val="2"/>
        </w:numPr>
        <w:spacing w:after="80"/>
      </w:pPr>
      <w:r>
        <w:rPr>
          <w:rFonts w:ascii="Arial" w:cs="Arial" w:eastAsia="Arial" w:hAnsi="Arial"/>
          <w:sz w:val="20"/>
          <w:szCs w:val="20"/>
        </w:rPr>
        <w:t xml:space="preserve">Cinema Date (built-in): real-world domain loaded from JSON files provided with the framework.</w:t>
      </w:r>
    </w:p>
    <w:p>
      <w:pPr>
        <w:pStyle w:val="ListParagraph"/>
        <w:numPr>
          <w:ilvl w:val="0"/>
          <w:numId w:val="2"/>
        </w:numPr>
        <w:spacing w:after="80"/>
      </w:pPr>
      <w:r>
        <w:rPr>
          <w:rFonts w:ascii="Arial" w:cs="Arial" w:eastAsia="Arial" w:hAnsi="Arial"/>
          <w:sz w:val="20"/>
          <w:szCs w:val="20"/>
        </w:rPr>
        <w:t xml:space="preserve">SmallCoop / SmallComp: 2-3 issues, 2-3 options per issue, max 27 offers. Max utility sum 2.0 (cooperative) and 1.3 (competitive).</w:t>
      </w:r>
    </w:p>
    <w:p>
      <w:pPr>
        <w:pStyle w:val="ListParagraph"/>
        <w:numPr>
          <w:ilvl w:val="0"/>
          <w:numId w:val="2"/>
        </w:numPr>
        <w:spacing w:after="80"/>
      </w:pPr>
      <w:r>
        <w:rPr>
          <w:rFonts w:ascii="Arial" w:cs="Arial" w:eastAsia="Arial" w:hAnsi="Arial"/>
          <w:sz w:val="20"/>
          <w:szCs w:val="20"/>
        </w:rPr>
        <w:t xml:space="preserve">MedCoop / MedComp: 3-4 issues, 3-4 options per issue, up to 256 offers.</w:t>
      </w:r>
    </w:p>
    <w:p>
      <w:pPr>
        <w:pStyle w:val="ListParagraph"/>
        <w:numPr>
          <w:ilvl w:val="0"/>
          <w:numId w:val="2"/>
        </w:numPr>
        <w:spacing w:after="80"/>
      </w:pPr>
      <w:r>
        <w:rPr>
          <w:rFonts w:ascii="Arial" w:cs="Arial" w:eastAsia="Arial" w:hAnsi="Arial"/>
          <w:sz w:val="20"/>
          <w:szCs w:val="20"/>
        </w:rPr>
        <w:t xml:space="preserve">LargeCoop / LargeComp: 4-5 issues, 3-4 options per issue, up to 1,024 offers.</w:t>
      </w:r>
    </w:p>
    <w:p>
      <w:pPr>
        <w:spacing w:after="80"/>
      </w:pPr>
      <w:r>
        <w:t xml:space="preserve"/>
      </w:r>
    </w:p>
    <w:p>
      <w:pPr>
        <w:spacing w:after="160"/>
      </w:pPr>
      <w:r>
        <w:rPr>
          <w:rFonts w:ascii="Arial" w:cs="Arial" w:eastAsia="Arial" w:hAnsi="Arial"/>
          <w:sz w:val="20"/>
          <w:szCs w:val="20"/>
        </w:rPr>
        <w:t xml:space="preserve">Random domains were generated using generate_domain() from the framework. max_utility_sum = 2.0 means cooperative (Pareto-optimal offers can approach utility (1,1)), while 1.3 means competitive (every gain for one party is largely a loss for the other). The strict=True flag ensures at least one offer achieves exactly the maximum utility sum. This variety of sizes and competitiveness levels matches what the assignment specifies for the final tournament.</w:t>
      </w:r>
    </w:p>
    <w:p>
      <w:pPr>
        <w:pStyle w:val="Heading1"/>
        <w:spacing w:after="120" w:before="320"/>
      </w:pPr>
      <w:r>
        <w:rPr>
          <w:rFonts w:ascii="Arial" w:cs="Arial" w:eastAsia="Arial" w:hAnsi="Arial"/>
          <w:b/>
          <w:bCs/>
          <w:color w:val="2E75B6"/>
          <w:sz w:val="28"/>
          <w:szCs w:val="28"/>
        </w:rPr>
        <w:t xml:space="preserve">4. Tournament Setup and Results</w:t>
      </w:r>
    </w:p>
    <w:p>
      <w:pPr>
        <w:spacing w:after="160"/>
      </w:pPr>
      <w:r>
        <w:rPr>
          <w:rFonts w:ascii="Arial" w:cs="Arial" w:eastAsia="Arial" w:hAnsi="Arial"/>
          <w:sz w:val="20"/>
          <w:szCs w:val="20"/>
        </w:rPr>
        <w:t xml:space="preserve">The tournament was run as a full round-robin: every agent played against every other agent (including itself) on every domain, repeated 3 times. Total: 7 x 7 x 8 x 3 = 1,176 negotiations. Deadline: 10 seconds per negotiation, matching the final course tournament setting.</w:t>
      </w:r>
    </w:p>
    <w:p>
      <w:pPr>
        <w:pStyle w:val="Heading2"/>
        <w:spacing w:after="80" w:before="200"/>
      </w:pPr>
      <w:r>
        <w:rPr>
          <w:rFonts w:ascii="Arial" w:cs="Arial" w:eastAsia="Arial" w:hAnsi="Arial"/>
          <w:b/>
          <w:bCs/>
          <w:color w:val="1F4E79"/>
          <w:sz w:val="22"/>
          <w:szCs w:val="22"/>
        </w:rPr>
        <w:t xml:space="preserve">4.1 Summary Statistics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1200"/>
        <w:gridCol w:w="426"/>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Std Err</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Util/Agr</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AgreeRate</w:t>
            </w:r>
          </w:p>
        </w:tc>
        <w:tc>
          <w:tcPr>
            <w:tcW w:type="dxa" w:w="42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RandomAgent</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0.3758</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0.0176</w:t>
            </w:r>
          </w:p>
        </w:tc>
        <w:tc>
          <w:tcPr>
            <w:tcW w:type="dxa" w:w="1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0.3769</w:t>
            </w:r>
          </w:p>
        </w:tc>
        <w:tc>
          <w:tcPr>
            <w:tcW w:type="dxa" w:w="1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0.9970</w:t>
            </w:r>
          </w:p>
        </w:tc>
        <w:tc>
          <w:tcPr>
            <w:tcW w:type="dxa" w:w="4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TimeBased_Boulware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0.7382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0.0146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0.7585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0.9732</w:t>
            </w:r>
          </w:p>
        </w:tc>
        <w:tc>
          <w:tcPr>
            <w:tcW w:type="dxa" w:w="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336</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TimeBased_Conceder</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0.6546</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0.0152</w:t>
            </w:r>
          </w:p>
        </w:tc>
        <w:tc>
          <w:tcPr>
            <w:tcW w:type="dxa" w:w="1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0.6605</w:t>
            </w:r>
          </w:p>
        </w:tc>
        <w:tc>
          <w:tcPr>
            <w:tcW w:type="dxa" w:w="1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0.9911</w:t>
            </w:r>
          </w:p>
        </w:tc>
        <w:tc>
          <w:tcPr>
            <w:tcW w:type="dxa" w:w="4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336</w:t>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AdaptiveAgent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0.8234</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0.0177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0.8974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0.9167</w:t>
            </w:r>
          </w:p>
        </w:tc>
        <w:tc>
          <w:tcPr>
            <w:tcW w:type="dxa" w:w="42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336</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MiCROAgent</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0.7613</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0.0116</w:t>
            </w:r>
          </w:p>
        </w:tc>
        <w:tc>
          <w:tcPr>
            <w:tcW w:type="dxa" w:w="1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0.7630</w:t>
            </w:r>
          </w:p>
        </w:tc>
        <w:tc>
          <w:tcPr>
            <w:tcW w:type="dxa" w:w="1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0.9970</w:t>
            </w:r>
          </w:p>
        </w:tc>
        <w:tc>
          <w:tcPr>
            <w:tcW w:type="dxa" w:w="4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336</w:t>
            </w:r>
          </w:p>
        </w:tc>
      </w:tr>
      <w:tr>
        <w:tc>
          <w:tcPr>
            <w:tcW w:type="dxa" w:w="22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PhoenixAgent</w:t>
            </w:r>
          </w:p>
        </w:tc>
        <w:tc>
          <w:tcPr>
            <w:tcW w:type="dxa" w:w="10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0.7887</w:t>
            </w:r>
          </w:p>
        </w:tc>
        <w:tc>
          <w:tcPr>
            <w:tcW w:type="dxa" w:w="10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0.0148</w:t>
            </w:r>
          </w:p>
        </w:tc>
        <w:tc>
          <w:tcPr>
            <w:tcW w:type="dxa" w:w="12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0.8104</w:t>
            </w:r>
          </w:p>
        </w:tc>
        <w:tc>
          <w:tcPr>
            <w:tcW w:type="dxa" w:w="12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0.9732</w:t>
            </w:r>
          </w:p>
        </w:tc>
        <w:tc>
          <w:tcPr>
            <w:tcW w:type="dxa" w:w="426"/>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336</w:t>
            </w:r>
          </w:p>
        </w:tc>
      </w:tr>
      <w:tr>
        <w:tc>
          <w:tcPr>
            <w:tcW w:type="dxa" w:w="22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VortexAgent</w:t>
            </w:r>
          </w:p>
        </w:tc>
        <w:tc>
          <w:tcPr>
            <w:tcW w:type="dxa" w:w="10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0.7721</w:t>
            </w:r>
          </w:p>
        </w:tc>
        <w:tc>
          <w:tcPr>
            <w:tcW w:type="dxa" w:w="10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0.0152</w:t>
            </w:r>
          </w:p>
        </w:tc>
        <w:tc>
          <w:tcPr>
            <w:tcW w:type="dxa" w:w="12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0.8184</w:t>
            </w:r>
          </w:p>
        </w:tc>
        <w:tc>
          <w:tcPr>
            <w:tcW w:type="dxa" w:w="1200"/>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0.9435</w:t>
            </w:r>
          </w:p>
        </w:tc>
        <w:tc>
          <w:tcPr>
            <w:tcW w:type="dxa" w:w="426"/>
            <w:tcBorders>
              <w:top w:val="single" w:color="CCCCCC" w:sz="1"/>
              <w:left w:val="single" w:color="CCCCCC" w:sz="1"/>
              <w:bottom w:val="single" w:color="CCCCCC" w:sz="1"/>
              <w:right w:val="single" w:color="CCCCCC" w:sz="1"/>
            </w:tcBorders>
            <w:shd w:fill="EEF6E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336</w:t>
            </w:r>
          </w:p>
        </w:tc>
      </w:tr>
    </w:tbl>
    <w:p>
      <w:pPr>
        <w:spacing w:after="80"/>
      </w:pPr>
      <w:r>
        <w:t xml:space="preserve"/>
      </w:r>
    </w:p>
    <w:p>
      <w:pPr>
        <w:spacing w:after="160"/>
      </w:pPr>
      <w:r>
        <w:rPr>
          <w:rFonts w:ascii="Arial" w:cs="Arial" w:eastAsia="Arial" w:hAnsi="Arial"/>
          <w:sz w:val="20"/>
          <w:szCs w:val="20"/>
        </w:rPr>
        <w:t xml:space="preserve">Custom agents (PhoenixAgent, VortexAgent) are highlighted in green. AdaptiveAgent is highlighted in blue as the top performer.</w:t>
      </w:r>
    </w:p>
    <w:p>
      <w:pPr>
        <w:spacing w:after="80"/>
      </w:pPr>
      <w:r>
        <w:t xml:space="preserve"/>
      </w:r>
    </w:p>
    <w:p>
      <w:pPr>
        <w:spacing w:after="160"/>
      </w:pPr>
      <w:r>
        <w:rPr>
          <w:rFonts w:ascii="Arial" w:cs="Arial" w:eastAsia="Arial" w:hAnsi="Arial"/>
          <w:sz w:val="20"/>
          <w:szCs w:val="20"/>
        </w:rPr>
        <w:t xml:space="preserve">Key observations:</w:t>
      </w:r>
    </w:p>
    <w:p>
      <w:pPr>
        <w:pStyle w:val="ListParagraph"/>
        <w:numPr>
          <w:ilvl w:val="0"/>
          <w:numId w:val="2"/>
        </w:numPr>
        <w:spacing w:after="80"/>
      </w:pPr>
      <w:r>
        <w:rPr>
          <w:rFonts w:ascii="Arial" w:cs="Arial" w:eastAsia="Arial" w:hAnsi="Arial"/>
          <w:sz w:val="20"/>
          <w:szCs w:val="20"/>
        </w:rPr>
        <w:t xml:space="preserve">AdaptiveAgent achieves the highest overall score (0.8234) with a high utility-on-agreement (0.8974). Its dynamic target adapts per opponent, staying tough when the opponent is tough. Note however that it relies on DummyOpponentUtilityModel, which cheats by accessing the true utility function -- an advantage unavailable in a real tournament.</w:t>
      </w:r>
    </w:p>
    <w:p>
      <w:pPr>
        <w:pStyle w:val="ListParagraph"/>
        <w:numPr>
          <w:ilvl w:val="0"/>
          <w:numId w:val="2"/>
        </w:numPr>
        <w:spacing w:after="80"/>
      </w:pPr>
      <w:r>
        <w:rPr>
          <w:rFonts w:ascii="Arial" w:cs="Arial" w:eastAsia="Arial" w:hAnsi="Arial"/>
          <w:sz w:val="20"/>
          <w:szCs w:val="20"/>
        </w:rPr>
        <w:t xml:space="preserve">PhoenixAgent ranks second (0.7887) using only a real opponent model (FrequencyAnalysis). Its Nash product bidding pushes proposals toward Pareto-optimal outcomes.</w:t>
      </w:r>
    </w:p>
    <w:p>
      <w:pPr>
        <w:pStyle w:val="ListParagraph"/>
        <w:numPr>
          <w:ilvl w:val="0"/>
          <w:numId w:val="2"/>
        </w:numPr>
        <w:spacing w:after="80"/>
      </w:pPr>
      <w:r>
        <w:rPr>
          <w:rFonts w:ascii="Arial" w:cs="Arial" w:eastAsia="Arial" w:hAnsi="Arial"/>
          <w:sz w:val="20"/>
          <w:szCs w:val="20"/>
        </w:rPr>
        <w:t xml:space="preserve">VortexAgent ranks third (0.7721) with the highest utility-on-agreement among the custom agents (0.8184), meaning when it does agree it gets a good deal. Its 94.4% agreement rate reflects a deliberately tougher stance than PhoenixAgent.</w:t>
      </w:r>
    </w:p>
    <w:p>
      <w:pPr>
        <w:pStyle w:val="ListParagraph"/>
        <w:numPr>
          <w:ilvl w:val="0"/>
          <w:numId w:val="2"/>
        </w:numPr>
        <w:spacing w:after="80"/>
      </w:pPr>
      <w:r>
        <w:rPr>
          <w:rFonts w:ascii="Arial" w:cs="Arial" w:eastAsia="Arial" w:hAnsi="Arial"/>
          <w:sz w:val="20"/>
          <w:szCs w:val="20"/>
        </w:rPr>
        <w:t xml:space="preserve">MiCROAgent is the most consistent (lowest standard error: 0.0116), with near-perfect agreement rate (99.7%). Its deterministic concession-mirroring strategy produces stable outcomes regardless of domain.</w:t>
      </w:r>
    </w:p>
    <w:p>
      <w:pPr>
        <w:pStyle w:val="ListParagraph"/>
        <w:numPr>
          <w:ilvl w:val="0"/>
          <w:numId w:val="2"/>
        </w:numPr>
        <w:spacing w:after="80"/>
      </w:pPr>
      <w:r>
        <w:rPr>
          <w:rFonts w:ascii="Arial" w:cs="Arial" w:eastAsia="Arial" w:hAnsi="Arial"/>
          <w:sz w:val="20"/>
          <w:szCs w:val="20"/>
        </w:rPr>
        <w:t xml:space="preserve">TimeBased_Conceder achieves 99.1% agreement rate but at the cost of utility -- it concedes too fast and gets systematically exploited by tough opponents.</w:t>
      </w:r>
    </w:p>
    <w:p>
      <w:pPr>
        <w:pStyle w:val="Heading2"/>
        <w:spacing w:after="80" w:before="200"/>
      </w:pPr>
      <w:r>
        <w:rPr>
          <w:rFonts w:ascii="Arial" w:cs="Arial" w:eastAsia="Arial" w:hAnsi="Arial"/>
          <w:b/>
          <w:bCs/>
          <w:color w:val="1F4E79"/>
          <w:sz w:val="22"/>
          <w:szCs w:val="22"/>
        </w:rPr>
        <w:t xml:space="preserve">4.2 Payoff Matrix</w:t>
      </w:r>
    </w:p>
    <w:p>
      <w:pPr>
        <w:spacing w:after="160"/>
      </w:pPr>
      <w:r>
        <w:rPr>
          <w:rFonts w:ascii="Arial" w:cs="Arial" w:eastAsia="Arial" w:hAnsi="Arial"/>
          <w:sz w:val="20"/>
          <w:szCs w:val="20"/>
        </w:rPr>
        <w:t xml:space="preserve">Each cell shows the mean utility obtained by the row agent when negotiating against the column agent (3 repetitions per cell). Diagonal entries (same strategy vs. same strategy) are highlighted in yellow.</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3"/>
        <w:gridCol w:w="1103"/>
        <w:gridCol w:w="1103"/>
        <w:gridCol w:w="1103"/>
        <w:gridCol w:w="1103"/>
        <w:gridCol w:w="1103"/>
        <w:gridCol w:w="1108"/>
      </w:tblGrid>
      <w:tr>
        <w:trPr>
          <w:tblHeader/>
        </w:trPr>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Down vs Right</w:t>
            </w:r>
          </w:p>
        </w:tc>
        <w:tc>
          <w:tcPr>
            <w:tcW w:type="dxa" w:w="1103"/>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Random</w:t>
            </w:r>
          </w:p>
        </w:tc>
        <w:tc>
          <w:tcPr>
            <w:tcW w:type="dxa" w:w="1103"/>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TB-Boul</w:t>
            </w:r>
          </w:p>
        </w:tc>
        <w:tc>
          <w:tcPr>
            <w:tcW w:type="dxa" w:w="1103"/>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TB-Conc</w:t>
            </w:r>
          </w:p>
        </w:tc>
        <w:tc>
          <w:tcPr>
            <w:tcW w:type="dxa" w:w="1103"/>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Adaptive</w:t>
            </w:r>
          </w:p>
        </w:tc>
        <w:tc>
          <w:tcPr>
            <w:tcW w:type="dxa" w:w="1103"/>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MiCRO</w:t>
            </w:r>
          </w:p>
        </w:tc>
        <w:tc>
          <w:tcPr>
            <w:tcW w:type="dxa" w:w="1103"/>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Phoenix</w:t>
            </w:r>
          </w:p>
        </w:tc>
        <w:tc>
          <w:tcPr>
            <w:tcW w:type="dxa" w:w="1108"/>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Vortex</w:t>
            </w:r>
          </w:p>
        </w:tc>
      </w:tr>
      <w:tr>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Random</w:t>
            </w:r>
          </w:p>
        </w:tc>
        <w:tc>
          <w:tcPr>
            <w:tcW w:type="dxa" w:w="1103"/>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0.5193</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0.3394</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0.3743</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0.3370</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0.4174</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0.3256</w:t>
            </w:r>
          </w:p>
        </w:tc>
        <w:tc>
          <w:tcPr>
            <w:tcW w:type="dxa" w:w="1108"/>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0.3173</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TB-Boul</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1.0145</w:t>
            </w:r>
          </w:p>
        </w:tc>
        <w:tc>
          <w:tcPr>
            <w:tcW w:type="dxa" w:w="1103"/>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0.7839</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0.8820</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0.4089</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0.7875</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0.5898</w:t>
            </w:r>
          </w:p>
        </w:tc>
        <w:tc>
          <w:tcPr>
            <w:tcW w:type="dxa" w:w="11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0.7007</w:t>
            </w:r>
          </w:p>
        </w:tc>
      </w:tr>
      <w:tr>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TB-Conc</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0.9748</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0.6093</w:t>
            </w:r>
          </w:p>
        </w:tc>
        <w:tc>
          <w:tcPr>
            <w:tcW w:type="dxa" w:w="1103"/>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0.7828</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0.4309</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0.7782</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0.4868</w:t>
            </w:r>
          </w:p>
        </w:tc>
        <w:tc>
          <w:tcPr>
            <w:tcW w:type="dxa" w:w="1108"/>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0.5194</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Adaptive</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1.0231</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0.8011</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0.9100</w:t>
            </w:r>
          </w:p>
        </w:tc>
        <w:tc>
          <w:tcPr>
            <w:tcW w:type="dxa" w:w="1103"/>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0.6591</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0.7729</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0.8375</w:t>
            </w:r>
          </w:p>
        </w:tc>
        <w:tc>
          <w:tcPr>
            <w:tcW w:type="dxa" w:w="11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0.7600</w:t>
            </w:r>
          </w:p>
        </w:tc>
      </w:tr>
      <w:tr>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MiCRO</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0.8695</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0.7403</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0.7540</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0.7282</w:t>
            </w:r>
          </w:p>
        </w:tc>
        <w:tc>
          <w:tcPr>
            <w:tcW w:type="dxa" w:w="1103"/>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0.7431</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0.7532</w:t>
            </w:r>
          </w:p>
        </w:tc>
        <w:tc>
          <w:tcPr>
            <w:tcW w:type="dxa" w:w="1108"/>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0.7409</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Phoenix</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1.0269</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0.8758</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0.9407</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0.4351</w:t>
            </w:r>
          </w:p>
        </w:tc>
        <w:tc>
          <w:tcPr>
            <w:tcW w:type="dxa" w:w="110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0.7232</w:t>
            </w:r>
          </w:p>
        </w:tc>
        <w:tc>
          <w:tcPr>
            <w:tcW w:type="dxa" w:w="1103"/>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0.7518</w:t>
            </w:r>
          </w:p>
        </w:tc>
        <w:tc>
          <w:tcPr>
            <w:tcW w:type="dxa" w:w="11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0.7673</w:t>
            </w:r>
          </w:p>
        </w:tc>
      </w:tr>
      <w:tr>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Vortex</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1.0021</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0.8309</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0.9236</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0.4506</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0.7848</w:t>
            </w:r>
          </w:p>
        </w:tc>
        <w:tc>
          <w:tcPr>
            <w:tcW w:type="dxa" w:w="1103"/>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0.7104</w:t>
            </w:r>
          </w:p>
        </w:tc>
        <w:tc>
          <w:tcPr>
            <w:tcW w:type="dxa" w:w="1108"/>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7"/>
                <w:szCs w:val="17"/>
              </w:rPr>
              <w:t xml:space="preserve">0.7024</w:t>
            </w:r>
          </w:p>
        </w:tc>
      </w:tr>
    </w:tbl>
    <w:p>
      <w:pPr>
        <w:spacing w:after="80"/>
      </w:pPr>
      <w:r>
        <w:t xml:space="preserve"/>
      </w:r>
    </w:p>
    <w:p>
      <w:pPr>
        <w:pStyle w:val="Heading2"/>
        <w:spacing w:after="80" w:before="200"/>
      </w:pPr>
      <w:r>
        <w:rPr>
          <w:rFonts w:ascii="Arial" w:cs="Arial" w:eastAsia="Arial" w:hAnsi="Arial"/>
          <w:b/>
          <w:bCs/>
          <w:color w:val="1F4E79"/>
          <w:sz w:val="22"/>
          <w:szCs w:val="22"/>
        </w:rPr>
        <w:t xml:space="preserve">4.3 Symmetric Nash Equilibria</w:t>
      </w:r>
    </w:p>
    <w:p>
      <w:pPr>
        <w:spacing w:after="160"/>
      </w:pPr>
      <w:r>
        <w:rPr>
          <w:rFonts w:ascii="Arial" w:cs="Arial" w:eastAsia="Arial" w:hAnsi="Arial"/>
          <w:sz w:val="20"/>
          <w:szCs w:val="20"/>
        </w:rPr>
        <w:t xml:space="preserve">A symmetric Nash equilibrium (NE) is a strategy X such that no agent benefits from unilaterally deviating when the opponent also plays X -- formally: payoff(X, X) &gt;= payoff(Y, X) for all strategies Y.</w:t>
      </w:r>
    </w:p>
    <w:p>
      <w:pPr>
        <w:spacing w:after="160"/>
      </w:pPr>
      <w:r>
        <w:rPr>
          <w:rFonts w:ascii="Arial" w:cs="Arial" w:eastAsia="Arial" w:hAnsi="Arial"/>
          <w:sz w:val="20"/>
          <w:szCs w:val="20"/>
        </w:rPr>
        <w:t xml:space="preserve"/>
      </w:r>
      <w:r>
        <w:rPr>
          <w:rFonts w:ascii="Arial" w:cs="Arial" w:eastAsia="Arial" w:hAnsi="Arial"/>
          <w:b/>
          <w:bCs/>
          <w:sz w:val="20"/>
          <w:szCs w:val="20"/>
        </w:rPr>
        <w:t xml:space="preserve">No symmetric Nash equilibrium was found.</w:t>
      </w:r>
      <w:r>
        <w:rPr>
          <w:rFonts w:ascii="Arial" w:cs="Arial" w:eastAsia="Arial" w:hAnsi="Arial"/>
          <w:sz w:val="20"/>
          <w:szCs w:val="20"/>
        </w:rPr>
        <w:t xml:space="preserve"> The closest candidate is AdaptiveAgent (diagonal 0.6591), but MiCROAgent achieves 0.7282 when facing AdaptiveAgent -- meaning a player would gain by switching to MiCROAgent if the opponent plays AdaptiveAgent. Examining all other diagonals: PhoenixAgent's 0.7518 is beaten by AdaptiveAgent (0.8375), VortexAgent's 0.7024 is beaten by AdaptiveAgent (0.7600) and PhoenixAgent (0.7673).</w:t>
      </w:r>
    </w:p>
    <w:p>
      <w:pPr>
        <w:spacing w:after="160"/>
      </w:pPr>
      <w:r>
        <w:rPr>
          <w:rFonts w:ascii="Arial" w:cs="Arial" w:eastAsia="Arial" w:hAnsi="Arial"/>
          <w:sz w:val="20"/>
          <w:szCs w:val="20"/>
        </w:rPr>
        <w:t xml:space="preserve">This absence of a symmetric NE reflects the inherently non-transitive nature of negotiation strategies. Tough Boulware agents exploit conceding agents; MiCRO resists Boulware by mirroring toughness; Adaptive agents learn to exploit MiCRO's mechanical concession counting; and agents using real Nash product bidding (Phoenix, Vortex) can outperform Adaptive when opponent modeling is accurate. No single strategy dominates all others simultaneously.</w:t>
      </w:r>
    </w:p>
    <w:p>
      <w:pPr>
        <w:pStyle w:val="Heading1"/>
        <w:spacing w:after="120" w:before="320"/>
      </w:pPr>
      <w:r>
        <w:rPr>
          <w:rFonts w:ascii="Arial" w:cs="Arial" w:eastAsia="Arial" w:hAnsi="Arial"/>
          <w:b/>
          <w:bCs/>
          <w:color w:val="2E75B6"/>
          <w:sz w:val="28"/>
          <w:szCs w:val="28"/>
        </w:rPr>
        <w:t xml:space="preserve">5. Domain-Type Analysis</w:t>
      </w:r>
    </w:p>
    <w:p>
      <w:pPr>
        <w:spacing w:after="160"/>
      </w:pPr>
      <w:r>
        <w:rPr>
          <w:rFonts w:ascii="Arial" w:cs="Arial" w:eastAsia="Arial" w:hAnsi="Arial"/>
          <w:sz w:val="20"/>
          <w:szCs w:val="20"/>
        </w:rPr>
        <w:t xml:space="preserve">The table below breaks down mean scores by domain category. S/M/L = Small/Medium/Large; Coop = max_utility_sum 2.0 (cooperative), Comp = 1.3 (competitive). 'Other' covers the two built-in domains.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32"/>
        <w:gridCol w:w="1032"/>
        <w:gridCol w:w="1032"/>
        <w:gridCol w:w="1032"/>
        <w:gridCol w:w="1032"/>
        <w:gridCol w:w="1032"/>
        <w:gridCol w:w="1034"/>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1032"/>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Other</w:t>
            </w:r>
          </w:p>
        </w:tc>
        <w:tc>
          <w:tcPr>
            <w:tcW w:type="dxa" w:w="1032"/>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S-Coop</w:t>
            </w:r>
          </w:p>
        </w:tc>
        <w:tc>
          <w:tcPr>
            <w:tcW w:type="dxa" w:w="1032"/>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S-Comp</w:t>
            </w:r>
          </w:p>
        </w:tc>
        <w:tc>
          <w:tcPr>
            <w:tcW w:type="dxa" w:w="1032"/>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M-Coop</w:t>
            </w:r>
          </w:p>
        </w:tc>
        <w:tc>
          <w:tcPr>
            <w:tcW w:type="dxa" w:w="1032"/>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M-Comp</w:t>
            </w:r>
          </w:p>
        </w:tc>
        <w:tc>
          <w:tcPr>
            <w:tcW w:type="dxa" w:w="1032"/>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L-Coop</w:t>
            </w:r>
          </w:p>
        </w:tc>
        <w:tc>
          <w:tcPr>
            <w:tcW w:type="dxa" w:w="1034"/>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L-Comp</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RandomAgent</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0.3098</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0.7272</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0.1163</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0.6553</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0.0943</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0.6429</w:t>
            </w:r>
          </w:p>
        </w:tc>
        <w:tc>
          <w:tcPr>
            <w:tcW w:type="dxa" w:w="1034"/>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0.1503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TimeBased_Boulware</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0.7550</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0.9150</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0.5276</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0.9264</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0.5784</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0.8830</w:t>
            </w:r>
          </w:p>
        </w:tc>
        <w:tc>
          <w:tcPr>
            <w:tcW w:type="dxa" w:w="10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0.5651</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TimeBased_Conceder</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0.6854</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0.8372</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0.4953</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0.8825</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0.4655</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0.7838</w:t>
            </w:r>
          </w:p>
        </w:tc>
        <w:tc>
          <w:tcPr>
            <w:tcW w:type="dxa" w:w="1034"/>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0.4018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AdaptiveAgent</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0.8192</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1.0077</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0.4312</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0.9838</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0.6695</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0.9944</w:t>
            </w:r>
          </w:p>
        </w:tc>
        <w:tc>
          <w:tcPr>
            <w:tcW w:type="dxa" w:w="10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0.8620</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MiCROAgent</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0.7821</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0.9410</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0.3987</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0.9120</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0.6646</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0.9513</w:t>
            </w:r>
          </w:p>
        </w:tc>
        <w:tc>
          <w:tcPr>
            <w:tcW w:type="dxa" w:w="1034"/>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0.6588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PhoenixAgent</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0.7623</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0.9407</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0.5932</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0.9569</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0.7315</w:t>
            </w:r>
          </w:p>
        </w:tc>
        <w:tc>
          <w:tcPr>
            <w:tcW w:type="dxa" w:w="10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0.9395</w:t>
            </w:r>
          </w:p>
        </w:tc>
        <w:tc>
          <w:tcPr>
            <w:tcW w:type="dxa" w:w="10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0.6231</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VortexAgent</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0.7506</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0.9597</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0.5517</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0.9342</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0.6353</w:t>
            </w:r>
          </w:p>
        </w:tc>
        <w:tc>
          <w:tcPr>
            <w:tcW w:type="dxa" w:w="1032"/>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0.9327</w:t>
            </w:r>
          </w:p>
        </w:tc>
        <w:tc>
          <w:tcPr>
            <w:tcW w:type="dxa" w:w="1034"/>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0.6621</w:t>
            </w:r>
          </w:p>
        </w:tc>
      </w:tr>
    </w:tbl>
    <w:p>
      <w:pPr>
        <w:spacing w:after="80"/>
      </w:pPr>
      <w:r>
        <w:t xml:space="preserve"/>
      </w:r>
    </w:p>
    <w:p>
      <w:pPr>
        <w:spacing w:after="160"/>
      </w:pPr>
      <w:r>
        <w:rPr>
          <w:rFonts w:ascii="Arial" w:cs="Arial" w:eastAsia="Arial" w:hAnsi="Arial"/>
          <w:sz w:val="20"/>
          <w:szCs w:val="20"/>
        </w:rPr>
        <w:t xml:space="preserve">Key findings:</w:t>
      </w:r>
    </w:p>
    <w:p>
      <w:pPr>
        <w:pStyle w:val="ListParagraph"/>
        <w:numPr>
          <w:ilvl w:val="0"/>
          <w:numId w:val="2"/>
        </w:numPr>
        <w:spacing w:after="80"/>
      </w:pPr>
      <w:r>
        <w:rPr>
          <w:rFonts w:ascii="Arial" w:cs="Arial" w:eastAsia="Arial" w:hAnsi="Arial"/>
          <w:sz w:val="20"/>
          <w:szCs w:val="20"/>
        </w:rPr>
        <w:t xml:space="preserve">All agents score substantially higher in cooperative domains than competitive ones (15-40% drop). More joint surplus in cooperative settings means agreements are better for both parties regardless of strategy.</w:t>
      </w:r>
    </w:p>
    <w:p>
      <w:pPr>
        <w:pStyle w:val="ListParagraph"/>
        <w:numPr>
          <w:ilvl w:val="0"/>
          <w:numId w:val="2"/>
        </w:numPr>
        <w:spacing w:after="80"/>
      </w:pPr>
      <w:r>
        <w:rPr>
          <w:rFonts w:ascii="Arial" w:cs="Arial" w:eastAsia="Arial" w:hAnsi="Arial"/>
          <w:sz w:val="20"/>
          <w:szCs w:val="20"/>
        </w:rPr>
        <w:t xml:space="preserve">AdaptiveAgent is the most robust across domain types. In Large Competitive domains it still scores 0.8620, while most others drop below 0.66. Its dynamic target value appears to handle competitive domains particularly well.</w:t>
      </w:r>
    </w:p>
    <w:p>
      <w:pPr>
        <w:pStyle w:val="ListParagraph"/>
        <w:numPr>
          <w:ilvl w:val="0"/>
          <w:numId w:val="2"/>
        </w:numPr>
        <w:spacing w:after="80"/>
      </w:pPr>
      <w:r>
        <w:rPr>
          <w:rFonts w:ascii="Arial" w:cs="Arial" w:eastAsia="Arial" w:hAnsi="Arial"/>
          <w:sz w:val="20"/>
          <w:szCs w:val="20"/>
        </w:rPr>
        <w:t xml:space="preserve">PhoenixAgent excels in cooperative domains (up to 0.9569 in Medium Cooperative). Nash product bidding is highly effective when mutual gains exist; the agent naturally finds Pareto-optimal offers. However it scores lower in Small Competitive (0.5932) where there are few such offers.</w:t>
      </w:r>
    </w:p>
    <w:p>
      <w:pPr>
        <w:pStyle w:val="ListParagraph"/>
        <w:numPr>
          <w:ilvl w:val="0"/>
          <w:numId w:val="2"/>
        </w:numPr>
        <w:spacing w:after="80"/>
      </w:pPr>
      <w:r>
        <w:rPr>
          <w:rFonts w:ascii="Arial" w:cs="Arial" w:eastAsia="Arial" w:hAnsi="Arial"/>
          <w:sz w:val="20"/>
          <w:szCs w:val="20"/>
        </w:rPr>
        <w:t xml:space="preserve">VortexAgent scores very consistently across cooperative domain sizes (0.95, 0.93, 0.93) and has the highest Small Cooperative score among all agents (0.9597). Its regression-based strategy model may be especially effective in these settings.</w:t>
      </w:r>
    </w:p>
    <w:p>
      <w:pPr>
        <w:pStyle w:val="ListParagraph"/>
        <w:numPr>
          <w:ilvl w:val="0"/>
          <w:numId w:val="2"/>
        </w:numPr>
        <w:spacing w:after="80"/>
      </w:pPr>
      <w:r>
        <w:rPr>
          <w:rFonts w:ascii="Arial" w:cs="Arial" w:eastAsia="Arial" w:hAnsi="Arial"/>
          <w:sz w:val="20"/>
          <w:szCs w:val="20"/>
        </w:rPr>
        <w:t xml:space="preserve">MiCROAgent shines in large domains (0.9513 Large Cooperative). With many offers available, its mirror-concession strategy benefits from a rich offer space to explore. It drops significantly in competitive domains however (0.3987 Small Competitive).</w:t>
      </w:r>
    </w:p>
    <w:p>
      <w:pPr>
        <w:pStyle w:val="ListParagraph"/>
        <w:numPr>
          <w:ilvl w:val="0"/>
          <w:numId w:val="2"/>
        </w:numPr>
        <w:spacing w:after="80"/>
      </w:pPr>
      <w:r>
        <w:rPr>
          <w:rFonts w:ascii="Arial" w:cs="Arial" w:eastAsia="Arial" w:hAnsi="Arial"/>
          <w:sz w:val="20"/>
          <w:szCs w:val="20"/>
        </w:rPr>
        <w:t xml:space="preserve">The gap between cooperative and competitive performance is widest for RandomAgent and MiCROAgent, suggesting these strategies happen to do well when there is surplus to find but struggle when every point gained comes at the opponent's expense.</w:t>
      </w:r>
    </w:p>
    <w:p>
      <w:pPr>
        <w:pStyle w:val="Heading1"/>
        <w:spacing w:after="120" w:before="320"/>
      </w:pPr>
      <w:r>
        <w:rPr>
          <w:rFonts w:ascii="Arial" w:cs="Arial" w:eastAsia="Arial" w:hAnsi="Arial"/>
          <w:b/>
          <w:bCs/>
          <w:color w:val="2E75B6"/>
          <w:sz w:val="28"/>
          <w:szCs w:val="28"/>
        </w:rPr>
        <w:t xml:space="preserve">6. Final Agent Selection</w:t>
      </w:r>
    </w:p>
    <w:p>
      <w:pPr>
        <w:spacing w:after="160"/>
      </w:pPr>
      <w:r>
        <w:rPr>
          <w:rFonts w:ascii="Arial" w:cs="Arial" w:eastAsia="Arial" w:hAnsi="Arial"/>
          <w:sz w:val="20"/>
          <w:szCs w:val="20"/>
        </w:rPr>
        <w:t xml:space="preserve">We submit </w:t>
      </w:r>
      <w:r>
        <w:rPr>
          <w:rFonts w:ascii="Arial" w:cs="Arial" w:eastAsia="Arial" w:hAnsi="Arial"/>
          <w:b/>
          <w:bCs/>
          <w:sz w:val="20"/>
          <w:szCs w:val="20"/>
        </w:rPr>
        <w:t xml:space="preserve">VortexAgent</w:t>
      </w:r>
      <w:r>
        <w:rPr>
          <w:rFonts w:ascii="Arial" w:cs="Arial" w:eastAsia="Arial" w:hAnsi="Arial"/>
          <w:sz w:val="20"/>
          <w:szCs w:val="20"/>
        </w:rPr>
        <w:t xml:space="preserve"> as our tournament entry. The rationale has two parts.</w:t>
      </w:r>
    </w:p>
    <w:p>
      <w:pPr>
        <w:spacing w:after="160"/>
      </w:pPr>
      <w:r>
        <w:rPr>
          <w:rFonts w:ascii="Arial" w:cs="Arial" w:eastAsia="Arial" w:hAnsi="Arial"/>
          <w:sz w:val="20"/>
          <w:szCs w:val="20"/>
        </w:rPr>
        <w:t xml:space="preserve">First, </w:t>
      </w:r>
      <w:r>
        <w:rPr>
          <w:rFonts w:ascii="Arial" w:cs="Arial" w:eastAsia="Arial" w:hAnsi="Arial"/>
          <w:b/>
          <w:bCs/>
          <w:sz w:val="20"/>
          <w:szCs w:val="20"/>
        </w:rPr>
        <w:t xml:space="preserve">fairness</w:t>
      </w:r>
      <w:r>
        <w:rPr>
          <w:rFonts w:ascii="Arial" w:cs="Arial" w:eastAsia="Arial" w:hAnsi="Arial"/>
          <w:sz w:val="20"/>
          <w:szCs w:val="20"/>
        </w:rPr>
        <w:t xml:space="preserve">: AdaptiveAgent achieves the highest score in our tournament but does so by using DummyOpponentUtilityModel, which secretly accesses the opponent's true utility function. This advantage is unavailable in the actual course tournament where all agents face real opponents. VortexAgent uses a fully real opponent model (ImprovedFrequencyAnalysis) and therefore gives a more realistic picture of tournament performance.</w:t>
      </w:r>
    </w:p>
    <w:p>
      <w:pPr>
        <w:spacing w:after="160"/>
      </w:pPr>
      <w:r>
        <w:rPr>
          <w:rFonts w:ascii="Arial" w:cs="Arial" w:eastAsia="Arial" w:hAnsi="Arial"/>
          <w:sz w:val="20"/>
          <w:szCs w:val="20"/>
        </w:rPr>
        <w:t xml:space="preserve">Second, </w:t>
      </w:r>
      <w:r>
        <w:rPr>
          <w:rFonts w:ascii="Arial" w:cs="Arial" w:eastAsia="Arial" w:hAnsi="Arial"/>
          <w:b/>
          <w:bCs/>
          <w:sz w:val="20"/>
          <w:szCs w:val="20"/>
        </w:rPr>
        <w:t xml:space="preserve">design richness</w:t>
      </w:r>
      <w:r>
        <w:rPr>
          <w:rFonts w:ascii="Arial" w:cs="Arial" w:eastAsia="Arial" w:hAnsi="Arial"/>
          <w:sz w:val="20"/>
          <w:szCs w:val="20"/>
        </w:rPr>
        <w:t xml:space="preserve">: VortexAgent combines five components that each target a specific weakness we identified through experimentation:</w:t>
      </w:r>
    </w:p>
    <w:p>
      <w:pPr>
        <w:pStyle w:val="ListParagraph"/>
        <w:numPr>
          <w:ilvl w:val="0"/>
          <w:numId w:val="2"/>
        </w:numPr>
        <w:spacing w:after="80"/>
      </w:pPr>
      <w:r>
        <w:rPr>
          <w:rFonts w:ascii="Arial" w:cs="Arial" w:eastAsia="Arial" w:hAnsi="Arial"/>
          <w:sz w:val="20"/>
          <w:szCs w:val="20"/>
        </w:rPr>
        <w:t xml:space="preserve">Reproposing reduces wasted concession rounds by recycling offers the opponent already validated at equal utility cost to us.</w:t>
      </w:r>
    </w:p>
    <w:p>
      <w:pPr>
        <w:pStyle w:val="ListParagraph"/>
        <w:numPr>
          <w:ilvl w:val="0"/>
          <w:numId w:val="2"/>
        </w:numPr>
        <w:spacing w:after="80"/>
      </w:pPr>
      <w:r>
        <w:rPr>
          <w:rFonts w:ascii="Arial" w:cs="Arial" w:eastAsia="Arial" w:hAnsi="Arial"/>
          <w:sz w:val="20"/>
          <w:szCs w:val="20"/>
        </w:rPr>
        <w:t xml:space="preserve">Forward-looking acceptance prevents waiting past the point where the opponent will not improve, trading expected future utility for a certain current gain.</w:t>
      </w:r>
    </w:p>
    <w:p>
      <w:pPr>
        <w:pStyle w:val="ListParagraph"/>
        <w:numPr>
          <w:ilvl w:val="0"/>
          <w:numId w:val="2"/>
        </w:numPr>
        <w:spacing w:after="80"/>
      </w:pPr>
      <w:r>
        <w:rPr>
          <w:rFonts w:ascii="Arial" w:cs="Arial" w:eastAsia="Arial" w:hAnsi="Arial"/>
          <w:sz w:val="20"/>
          <w:szCs w:val="20"/>
        </w:rPr>
        <w:t xml:space="preserve">Self-mirroring prevents being systematically exploited by very tough opponents who concede slowly while we concede fast.</w:t>
      </w:r>
    </w:p>
    <w:p>
      <w:pPr>
        <w:pStyle w:val="ListParagraph"/>
        <w:numPr>
          <w:ilvl w:val="0"/>
          <w:numId w:val="2"/>
        </w:numPr>
        <w:spacing w:after="80"/>
      </w:pPr>
      <w:r>
        <w:rPr>
          <w:rFonts w:ascii="Arial" w:cs="Arial" w:eastAsia="Arial" w:hAnsi="Arial"/>
          <w:sz w:val="20"/>
          <w:szCs w:val="20"/>
        </w:rPr>
        <w:t xml:space="preserve">The regression strategy model gives a better prediction of the opponent's future concessions than the max-extrapolation in AdaptiveAgent, particularly when the opponent's concession rate is non-linear.</w:t>
      </w:r>
    </w:p>
    <w:p>
      <w:pPr>
        <w:pStyle w:val="ListParagraph"/>
        <w:numPr>
          <w:ilvl w:val="0"/>
          <w:numId w:val="2"/>
        </w:numPr>
        <w:spacing w:after="80"/>
      </w:pPr>
      <w:r>
        <w:rPr>
          <w:rFonts w:ascii="Arial" w:cs="Arial" w:eastAsia="Arial" w:hAnsi="Arial"/>
          <w:sz w:val="20"/>
          <w:szCs w:val="20"/>
        </w:rPr>
        <w:t xml:space="preserve">Time-weighted frequency analysis focuses the opponent model on recent (more informative) proposals, improving Nash product bid selection as the negotiation progresses.</w:t>
      </w:r>
    </w:p>
    <w:p>
      <w:pPr>
        <w:spacing w:after="80"/>
      </w:pPr>
      <w:r>
        <w:t xml:space="preserve"/>
      </w:r>
    </w:p>
    <w:p>
      <w:pPr>
        <w:spacing w:after="160"/>
      </w:pPr>
      <w:r>
        <w:rPr>
          <w:rFonts w:ascii="Arial" w:cs="Arial" w:eastAsia="Arial" w:hAnsi="Arial"/>
          <w:sz w:val="20"/>
          <w:szCs w:val="20"/>
        </w:rPr>
        <w:t xml:space="preserve">PhoenixAgent (rank 2, score 0.7887) is a strong and simpler alternative. Its Boulware concession + Nash product bidding + real opponent model is well-understood and performed reliably across all domain types. VortexAgent's additional complexity carries a small risk that one of its components misfires in an unanticipated domain configuration, whereas PhoenixAgent's simpler design makes its behaviour more predictable.</w:t>
      </w:r>
    </w:p>
    <w:p>
      <w:pPr>
        <w:spacing w:after="80"/>
      </w:pPr>
      <w:r>
        <w:t xml:space="preserve"/>
      </w:r>
    </w:p>
    <w:p>
      <w:pPr>
        <w:pBdr>
          <w:top w:val="single" w:color="2E75B6" w:sz="4" w:space="1"/>
        </w:pBdr>
      </w:pPr>
      <w:r>
        <w:t xml:space="preserve"/>
      </w:r>
    </w:p>
    <w:p>
      <w:pPr>
        <w:spacing w:before="80"/>
      </w:pPr>
      <w:r>
        <w:rPr>
          <w:rFonts w:ascii="Arial" w:cs="Arial" w:eastAsia="Arial" w:hAnsi="Arial"/>
          <w:color w:val="888888"/>
          <w:sz w:val="16"/>
          <w:szCs w:val="16"/>
        </w:rPr>
        <w:t xml:space="preserve">Tournament: 1,176 negotiations  |  7 agents  |  8 domains  |  3 repetitions  |  deadline = 10 s  |  negosimulator v0.5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Automated Negotiation Group Assignment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2026-06-01T12:09:22.409Z</dcterms:created>
  <dcterms:modified xsi:type="dcterms:W3CDTF">2026-06-01T12:09:22.413Z</dcterms:modified>
</cp:coreProperties>
</file>

<file path=docProps/custom.xml><?xml version="1.0" encoding="utf-8"?>
<Properties xmlns="http://schemas.openxmlformats.org/officeDocument/2006/custom-properties" xmlns:vt="http://schemas.openxmlformats.org/officeDocument/2006/docPropsVTypes"/>
</file>