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0063A" w14:textId="77777777" w:rsidR="002C0D21" w:rsidRPr="00890919" w:rsidRDefault="002C0D21" w:rsidP="002C0D21">
      <w:pPr>
        <w:pStyle w:val="Ttulo1"/>
        <w:rPr>
          <w:b/>
          <w:bCs/>
          <w:sz w:val="32"/>
          <w:szCs w:val="32"/>
        </w:rPr>
      </w:pPr>
      <w:bookmarkStart w:id="0" w:name="_Toc531162148"/>
      <w:r w:rsidRPr="00890919">
        <w:rPr>
          <w:b/>
          <w:bCs/>
          <w:sz w:val="32"/>
          <w:szCs w:val="32"/>
        </w:rPr>
        <w:t>Tabla de Contenido</w:t>
      </w:r>
      <w:bookmarkEnd w:id="0"/>
    </w:p>
    <w:p w14:paraId="48DBBF5A" w14:textId="3DDEEB80" w:rsidR="002C0D21" w:rsidRDefault="002C0D21" w:rsidP="002C0D21">
      <w:pPr>
        <w:pStyle w:val="TDC1"/>
        <w:tabs>
          <w:tab w:val="left" w:pos="480"/>
          <w:tab w:val="right" w:leader="dot" w:pos="8828"/>
        </w:tabs>
        <w:rPr>
          <w:rFonts w:eastAsiaTheme="minorEastAsia"/>
          <w:noProof/>
          <w:lang w:val="es-CO" w:eastAsia="es-ES_tradnl"/>
        </w:rPr>
      </w:pPr>
      <w:r>
        <w:fldChar w:fldCharType="begin"/>
      </w:r>
      <w:r>
        <w:instrText xml:space="preserve"> TOC \o "1-3" \h \z \t "CAPITULOS SUBPROCESOS,2,Estilo1,3" </w:instrText>
      </w:r>
      <w:r>
        <w:fldChar w:fldCharType="separate"/>
      </w:r>
      <w:hyperlink w:anchor="_Toc531162148" w:history="1">
        <w:r w:rsidRPr="00200581">
          <w:rPr>
            <w:rStyle w:val="Hipervnculo"/>
            <w:noProof/>
          </w:rPr>
          <w:t>I.</w:t>
        </w:r>
        <w:r>
          <w:rPr>
            <w:rFonts w:eastAsiaTheme="minorEastAsia"/>
            <w:noProof/>
            <w:lang w:val="es-CO" w:eastAsia="es-ES_tradnl"/>
          </w:rPr>
          <w:t xml:space="preserve">      </w:t>
        </w:r>
        <w:r w:rsidRPr="00200581">
          <w:rPr>
            <w:rStyle w:val="Hipervnculo"/>
            <w:noProof/>
          </w:rPr>
          <w:t xml:space="preserve">Tabla de </w:t>
        </w:r>
        <w:r w:rsidR="00031E32">
          <w:rPr>
            <w:rStyle w:val="Hipervnculo"/>
            <w:noProof/>
          </w:rPr>
          <w:t>c</w:t>
        </w:r>
        <w:r w:rsidRPr="00200581">
          <w:rPr>
            <w:rStyle w:val="Hipervnculo"/>
            <w:noProof/>
          </w:rPr>
          <w:t>ontenido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_Toc531162148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148C932" w14:textId="277A2C19" w:rsidR="002C0D21" w:rsidRDefault="002C0D21" w:rsidP="002C0D21">
      <w:pPr>
        <w:pStyle w:val="TDC1"/>
        <w:tabs>
          <w:tab w:val="left" w:pos="480"/>
          <w:tab w:val="right" w:leader="dot" w:pos="8828"/>
        </w:tabs>
        <w:rPr>
          <w:rFonts w:eastAsiaTheme="minorEastAsia"/>
          <w:noProof/>
          <w:lang w:val="es-CO" w:eastAsia="es-ES_tradnl"/>
        </w:rPr>
      </w:pPr>
      <w:hyperlink w:anchor="_Toc531162149" w:history="1">
        <w:r w:rsidRPr="00200581">
          <w:rPr>
            <w:rStyle w:val="Hipervnculo"/>
            <w:noProof/>
          </w:rPr>
          <w:t>II.</w:t>
        </w:r>
        <w:r>
          <w:rPr>
            <w:rFonts w:eastAsiaTheme="minorEastAsia"/>
            <w:noProof/>
            <w:lang w:val="es-CO" w:eastAsia="es-ES_tradnl"/>
          </w:rPr>
          <w:t xml:space="preserve">     </w:t>
        </w:r>
        <w:r w:rsidRPr="00200581">
          <w:rPr>
            <w:rStyle w:val="Hipervnculo"/>
            <w:noProof/>
          </w:rPr>
          <w:t xml:space="preserve">Propósito del </w:t>
        </w:r>
        <w:r w:rsidR="00933FC2">
          <w:rPr>
            <w:rStyle w:val="Hipervnculo"/>
            <w:noProof/>
          </w:rPr>
          <w:t>d</w:t>
        </w:r>
        <w:r w:rsidRPr="00200581">
          <w:rPr>
            <w:rStyle w:val="Hipervnculo"/>
            <w:noProof/>
          </w:rPr>
          <w:t>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_Toc531162149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05B5369" w14:textId="4972C79D" w:rsidR="002C0D21" w:rsidRDefault="002C0D21" w:rsidP="002C0D21">
      <w:pPr>
        <w:pStyle w:val="TDC1"/>
        <w:tabs>
          <w:tab w:val="left" w:pos="720"/>
          <w:tab w:val="right" w:leader="dot" w:pos="8828"/>
        </w:tabs>
        <w:rPr>
          <w:rFonts w:eastAsiaTheme="minorEastAsia"/>
          <w:noProof/>
          <w:lang w:val="es-CO" w:eastAsia="es-ES_tradnl"/>
        </w:rPr>
      </w:pPr>
      <w:hyperlink w:anchor="_Toc531162150" w:history="1">
        <w:r w:rsidRPr="00200581">
          <w:rPr>
            <w:rStyle w:val="Hipervnculo"/>
            <w:noProof/>
          </w:rPr>
          <w:t>III.</w:t>
        </w:r>
        <w:r>
          <w:rPr>
            <w:rFonts w:eastAsiaTheme="minorEastAsia"/>
            <w:noProof/>
            <w:lang w:val="es-CO" w:eastAsia="es-ES_tradnl"/>
          </w:rPr>
          <w:t xml:space="preserve">    </w:t>
        </w:r>
        <w:r w:rsidR="00AC27E2">
          <w:rPr>
            <w:rStyle w:val="Hipervnculo"/>
            <w:noProof/>
          </w:rPr>
          <w:t>Resumen del proceso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_Toc531162150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A9BD196" w14:textId="1B74E340" w:rsidR="002C0D21" w:rsidRDefault="002C0D21" w:rsidP="002C0D21">
      <w:pPr>
        <w:pStyle w:val="TDC1"/>
        <w:tabs>
          <w:tab w:val="left" w:pos="720"/>
          <w:tab w:val="right" w:leader="dot" w:pos="8828"/>
        </w:tabs>
        <w:rPr>
          <w:rFonts w:eastAsiaTheme="minorEastAsia"/>
          <w:noProof/>
          <w:lang w:val="es-CO" w:eastAsia="es-ES_tradnl"/>
        </w:rPr>
      </w:pPr>
      <w:hyperlink w:anchor="_Toc531162151" w:history="1">
        <w:r w:rsidRPr="00200581">
          <w:rPr>
            <w:rStyle w:val="Hipervnculo"/>
            <w:noProof/>
          </w:rPr>
          <w:t>IV.</w:t>
        </w:r>
        <w:r>
          <w:rPr>
            <w:rFonts w:eastAsiaTheme="minorEastAsia"/>
            <w:noProof/>
            <w:lang w:val="es-CO" w:eastAsia="es-ES_tradnl"/>
          </w:rPr>
          <w:t xml:space="preserve">    </w:t>
        </w:r>
        <w:r w:rsidR="00AC27E2">
          <w:rPr>
            <w:rStyle w:val="Hipervnculo"/>
            <w:noProof/>
          </w:rPr>
          <w:t>Flujo del proceso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_Toc531162151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6C45DA8" w14:textId="29948A94" w:rsidR="002C0D21" w:rsidRDefault="00AC27E2" w:rsidP="002C0D21">
      <w:pPr>
        <w:pStyle w:val="TDC1"/>
        <w:tabs>
          <w:tab w:val="left" w:pos="480"/>
          <w:tab w:val="right" w:leader="dot" w:pos="8828"/>
        </w:tabs>
      </w:pPr>
      <w:r>
        <w:t>I</w:t>
      </w:r>
      <w:hyperlink w:anchor="_Toc531162152" w:history="1">
        <w:r w:rsidR="002C0D21" w:rsidRPr="00200581">
          <w:rPr>
            <w:rStyle w:val="Hipervnculo"/>
            <w:noProof/>
          </w:rPr>
          <w:t>V.</w:t>
        </w:r>
        <w:r w:rsidR="00933FC2">
          <w:rPr>
            <w:rFonts w:eastAsiaTheme="minorEastAsia"/>
            <w:noProof/>
            <w:lang w:val="es-CO" w:eastAsia="es-ES_tradnl"/>
          </w:rPr>
          <w:t xml:space="preserve">    </w:t>
        </w:r>
        <w:r>
          <w:rPr>
            <w:rStyle w:val="Hipervnculo"/>
            <w:noProof/>
          </w:rPr>
          <w:t>Procedimiento</w:t>
        </w:r>
        <w:r w:rsidR="002C0D21">
          <w:rPr>
            <w:noProof/>
            <w:webHidden/>
          </w:rPr>
          <w:tab/>
        </w:r>
        <w:r w:rsidR="002C0D21">
          <w:rPr>
            <w:noProof/>
            <w:webHidden/>
          </w:rPr>
          <w:fldChar w:fldCharType="begin"/>
        </w:r>
        <w:r w:rsidR="002C0D21">
          <w:rPr>
            <w:noProof/>
            <w:webHidden/>
          </w:rPr>
          <w:instrText xml:space="preserve"> PAGEREF _Toc531162152 \h </w:instrText>
        </w:r>
        <w:r w:rsidR="002C0D21">
          <w:rPr>
            <w:noProof/>
            <w:webHidden/>
          </w:rPr>
        </w:r>
        <w:r w:rsidR="002C0D21">
          <w:rPr>
            <w:noProof/>
            <w:webHidden/>
          </w:rPr>
          <w:fldChar w:fldCharType="separate"/>
        </w:r>
        <w:r w:rsidR="002C0D21">
          <w:rPr>
            <w:noProof/>
            <w:webHidden/>
          </w:rPr>
          <w:t>2</w:t>
        </w:r>
        <w:r w:rsidR="002C0D21">
          <w:rPr>
            <w:noProof/>
            <w:webHidden/>
          </w:rPr>
          <w:fldChar w:fldCharType="end"/>
        </w:r>
      </w:hyperlink>
      <w:r w:rsidR="002C0D21">
        <w:fldChar w:fldCharType="end"/>
      </w:r>
    </w:p>
    <w:p w14:paraId="5B2988DF" w14:textId="73149C24" w:rsidR="00933FC2" w:rsidRDefault="00933FC2" w:rsidP="00933FC2">
      <w:pPr>
        <w:pStyle w:val="TDC1"/>
        <w:tabs>
          <w:tab w:val="left" w:pos="480"/>
          <w:tab w:val="right" w:leader="dot" w:pos="8828"/>
        </w:tabs>
        <w:rPr>
          <w:rFonts w:eastAsiaTheme="minorEastAsia"/>
          <w:noProof/>
          <w:lang w:val="es-CO" w:eastAsia="es-ES_tradnl"/>
        </w:rPr>
      </w:pPr>
      <w:r>
        <w:rPr>
          <w:noProof/>
        </w:rPr>
        <w:t xml:space="preserve">V.    </w:t>
      </w:r>
      <w:r w:rsidR="00AC27E2">
        <w:rPr>
          <w:noProof/>
        </w:rPr>
        <w:t xml:space="preserve"> Arquitectura de la solución</w:t>
      </w:r>
      <w:r>
        <w:rPr>
          <w:noProof/>
        </w:rPr>
        <w:t xml:space="preserve">  </w:t>
      </w:r>
      <w:hyperlink w:anchor="_Toc531162148" w:history="1">
        <w:r>
          <w:rPr>
            <w:noProof/>
            <w:webHidden/>
          </w:rPr>
          <w:tab/>
        </w:r>
      </w:hyperlink>
      <w:r w:rsidR="00031E32">
        <w:t>3</w:t>
      </w:r>
    </w:p>
    <w:p w14:paraId="6374B2FE" w14:textId="22BCE1DE" w:rsidR="00933FC2" w:rsidRDefault="00AC27E2" w:rsidP="00933FC2">
      <w:pPr>
        <w:pStyle w:val="TDC1"/>
        <w:tabs>
          <w:tab w:val="left" w:pos="480"/>
          <w:tab w:val="right" w:leader="dot" w:pos="8828"/>
        </w:tabs>
        <w:rPr>
          <w:rFonts w:eastAsiaTheme="minorEastAsia"/>
          <w:noProof/>
          <w:lang w:val="es-CO" w:eastAsia="es-ES_tradnl"/>
        </w:rPr>
      </w:pPr>
      <w:r>
        <w:rPr>
          <w:noProof/>
        </w:rPr>
        <w:t>VI</w:t>
      </w:r>
      <w:r w:rsidR="00933FC2" w:rsidRPr="00933FC2">
        <w:rPr>
          <w:noProof/>
        </w:rPr>
        <w:t>.</w:t>
      </w:r>
      <w:r w:rsidR="00933FC2">
        <w:rPr>
          <w:rFonts w:eastAsiaTheme="minorEastAsia"/>
          <w:noProof/>
          <w:lang w:val="es-CO" w:eastAsia="es-ES_tradnl"/>
        </w:rPr>
        <w:t xml:space="preserve">    </w:t>
      </w:r>
      <w:r>
        <w:rPr>
          <w:noProof/>
        </w:rPr>
        <w:t>Fuentes de información</w:t>
      </w:r>
      <w:r w:rsidR="00933FC2">
        <w:rPr>
          <w:noProof/>
          <w:webHidden/>
        </w:rPr>
        <w:tab/>
      </w:r>
      <w:r w:rsidR="00031E32">
        <w:rPr>
          <w:noProof/>
          <w:webHidden/>
        </w:rPr>
        <w:t>3</w:t>
      </w:r>
    </w:p>
    <w:p w14:paraId="6B8E2D78" w14:textId="34FE3375" w:rsidR="00AC27E2" w:rsidRPr="00BC3720" w:rsidRDefault="00AC27E2" w:rsidP="00BC3720">
      <w:pPr>
        <w:pStyle w:val="TDC1"/>
        <w:tabs>
          <w:tab w:val="left" w:pos="720"/>
          <w:tab w:val="right" w:leader="dot" w:pos="8828"/>
        </w:tabs>
        <w:rPr>
          <w:rFonts w:eastAsiaTheme="minorEastAsia"/>
          <w:noProof/>
          <w:lang w:val="es-CO" w:eastAsia="es-ES_tradnl"/>
        </w:rPr>
      </w:pPr>
      <w:r>
        <w:rPr>
          <w:noProof/>
        </w:rPr>
        <w:t>V</w:t>
      </w:r>
      <w:r w:rsidR="00933FC2" w:rsidRPr="00933FC2">
        <w:rPr>
          <w:noProof/>
        </w:rPr>
        <w:t>II.</w:t>
      </w:r>
      <w:r w:rsidR="00933FC2">
        <w:rPr>
          <w:rFonts w:eastAsiaTheme="minorEastAsia"/>
          <w:noProof/>
          <w:lang w:val="es-CO" w:eastAsia="es-ES_tradnl"/>
        </w:rPr>
        <w:t xml:space="preserve">   </w:t>
      </w:r>
      <w:r>
        <w:rPr>
          <w:noProof/>
        </w:rPr>
        <w:t>Entregables</w:t>
      </w:r>
      <w:r w:rsidR="00933FC2">
        <w:rPr>
          <w:noProof/>
          <w:webHidden/>
        </w:rPr>
        <w:tab/>
      </w:r>
      <w:bookmarkStart w:id="1" w:name="_Toc531162149"/>
      <w:r w:rsidR="00031E32">
        <w:rPr>
          <w:noProof/>
          <w:webHidden/>
        </w:rPr>
        <w:t>4</w:t>
      </w:r>
    </w:p>
    <w:p w14:paraId="58D4B880" w14:textId="410803FF" w:rsidR="00933FC2" w:rsidRPr="00890919" w:rsidRDefault="00933FC2" w:rsidP="00933FC2">
      <w:pPr>
        <w:pStyle w:val="Ttulo1"/>
        <w:rPr>
          <w:b/>
          <w:bCs/>
          <w:sz w:val="32"/>
          <w:szCs w:val="32"/>
        </w:rPr>
      </w:pPr>
      <w:r w:rsidRPr="00890919">
        <w:rPr>
          <w:b/>
          <w:bCs/>
          <w:sz w:val="32"/>
          <w:szCs w:val="32"/>
        </w:rPr>
        <w:t>Propósito del Documento</w:t>
      </w:r>
      <w:bookmarkEnd w:id="1"/>
    </w:p>
    <w:p>
      <w:pPr/>
      <w:r>
        <w:t>El propósito de este documento es describir el funcionamiento técnico del desarrollo "Gestión de Activos Fijos", detallando su estructura, fuentes de información, procedimientos de ejecución y entregables, con el fin de servir como guía de operación y mantenimiento para el equipo del Hub de ISA.</w:t>
      </w:r>
    </w:p>
    <w:p>
      <w:pPr/>
      <w:r>
        <w:t>El desarrollo es una aplicación de escritorio (Python + Tkinter) empaquetada como ejecutable Windows (.exe) que automatiza varios pasos del proceso de creación, capitalización y control de activos fijos en SAP.</w:t>
      </w:r>
    </w:p>
    <w:p w14:paraId="0300D635" w14:textId="69BB84A5" w:rsidR="00295FC1" w:rsidRPr="00890919" w:rsidRDefault="00295FC1" w:rsidP="00295FC1">
      <w:pPr>
        <w:pStyle w:val="Ttulo1"/>
        <w:rPr>
          <w:b/>
          <w:bCs/>
          <w:sz w:val="32"/>
          <w:szCs w:val="32"/>
        </w:rPr>
      </w:pPr>
      <w:r w:rsidRPr="00890919">
        <w:rPr>
          <w:b/>
          <w:bCs/>
          <w:sz w:val="32"/>
          <w:szCs w:val="32"/>
        </w:rPr>
        <w:t>Resumen del proceso</w:t>
      </w:r>
    </w:p>
    <w:p>
      <w:pPr/>
      <w:r>
        <w:t>La solución consiste en una automatización de escritorio que orquesta el ciclo de creación y control de activos fijos en SAP, tomando información del usuario desde un formato Excel maestro y ejecutando las transacciones SAP correspondientes vía SAP GUI Scripting (COM). Cubre cinco flujos:</w:t>
      </w:r>
    </w:p>
    <w:p>
      <w:r>
        <w:t xml:space="preserve">• </w:t>
      </w:r>
      <w:r>
        <w:t>Extracción de información: lee la hoja "LSMW" del formato dinámico Excel y la convierte en un archivo .txt separado por tabulación compatible con la transacción LSMW de SAP.</w:t>
      </w:r>
    </w:p>
    <w:p>
      <w:r>
        <w:t xml:space="preserve">• </w:t>
      </w:r>
      <w:r>
        <w:t>Creación de activos: ejecuta el flujo LSMW completo en SAP (Specify Files → Read Data → Convert Data → Create BI Session → Run BI) sobre el .txt generado.</w:t>
      </w:r>
    </w:p>
    <w:p>
      <w:r>
        <w:t xml:space="preserve">• </w:t>
      </w:r>
      <w:r>
        <w:t>Extracción de activos creados: filtra el Monitor de logs BDC (transacción SM35P) por usuario SAP, abre el primer log y exporta el detalle, dejando un Excel con la lista de activos y subnúmeros generados.</w:t>
      </w:r>
    </w:p>
    <w:p>
      <w:r>
        <w:t xml:space="preserve">• </w:t>
      </w:r>
      <w:r>
        <w:t>Subida de anexos: para cada activo creado, adjunta uno o más archivos vía la transacción AS02 + el servicio GOS PCATTA_CREA (Object Services → Crear Adjunto).</w:t>
      </w:r>
    </w:p>
    <w:p>
      <w:r>
        <w:t xml:space="preserve">• </w:t>
      </w:r>
      <w:r>
        <w:t>Generación del Reporte SOX (control HUB.PPE.01): ejecuta la transacción AR15 con sociedad y rango de fechas, exporta a Excel y produce el deliverable final "Población_&lt;SOC&gt;_&lt;FECHA&gt;.xlsx" con tres hojas (Original_SAP, Creados y IPE con evidencias visuales).</w:t>
      </w:r>
    </w:p>
    <w:p>
      <w:pPr/>
      <w:r>
        <w:t>La autenticación a SAP es manual: la app se conecta a una sesión SAP GUI ya iniciada por el usuario. La aplicación NO administra credenciales, ni almacena información sensible.</w:t>
      </w:r>
    </w:p>
    <w:p w14:paraId="57F23C3C" w14:textId="37DE188B" w:rsidR="00295FC1" w:rsidRPr="00890919" w:rsidRDefault="00BF11FB" w:rsidP="00295FC1">
      <w:pPr>
        <w:pStyle w:val="Ttulo1"/>
        <w:rPr>
          <w:b/>
          <w:bCs/>
          <w:sz w:val="32"/>
          <w:szCs w:val="32"/>
        </w:rPr>
      </w:pPr>
      <w:r w:rsidRPr="00890919">
        <w:rPr>
          <w:b/>
          <w:bCs/>
          <w:sz w:val="32"/>
          <w:szCs w:val="32"/>
        </w:rPr>
        <w:lastRenderedPageBreak/>
        <w:t>Flujo del proceso</w:t>
      </w:r>
      <w:r w:rsidR="00295FC1" w:rsidRPr="00890919">
        <w:rPr>
          <w:b/>
          <w:bCs/>
          <w:sz w:val="32"/>
          <w:szCs w:val="32"/>
        </w:rPr>
        <w:t xml:space="preserve"> (si aplica)</w:t>
      </w:r>
    </w:p>
    <w:p>
      <w:pPr/>
      <w:r>
        <w:t>El siguiente diagrama representa, a alto nivel, las etapas que el desarrollo cubre dentro del proceso de creación y control de activos fijos: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455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-proces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5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Resumen narrativo del flujo:</w:t>
      </w:r>
    </w:p>
    <w:p>
      <w:r>
        <w:t xml:space="preserve">• </w:t>
      </w:r>
      <w:r>
        <w:t>El usuario contable diligencia el formato dinámico Excel con la información del activo a crear.</w:t>
      </w:r>
    </w:p>
    <w:p>
      <w:r>
        <w:t xml:space="preserve">• </w:t>
      </w:r>
      <w:r>
        <w:t>La aplicación extrae esos datos a un archivo .txt compatible con la transacción LSMW de SAP.</w:t>
      </w:r>
    </w:p>
    <w:p>
      <w:r>
        <w:t xml:space="preserve">• </w:t>
      </w:r>
      <w:r>
        <w:t>El usuario ejecuta la carga LSMW desde la aplicación; SAP genera los activos correspondientes.</w:t>
      </w:r>
    </w:p>
    <w:p>
      <w:r>
        <w:t xml:space="preserve">• </w:t>
      </w:r>
      <w:r>
        <w:t>La aplicación extrae del log SM35P los códigos de activos creados y permite adjuntar los anexos de soporte vía AS02 + GOS.</w:t>
      </w:r>
    </w:p>
    <w:p>
      <w:r>
        <w:t xml:space="preserve">• </w:t>
      </w:r>
      <w:r>
        <w:t>Al cierre del mes, la aplicación genera el Reporte SOX desde la transacción AR15 como evidencia del control HUB.PPE.01.</w:t>
      </w:r>
    </w:p>
    <w:p w14:paraId="0C351DC9" w14:textId="235ADB1E" w:rsidR="00295FC1" w:rsidRPr="00890919" w:rsidRDefault="00295FC1" w:rsidP="00295FC1">
      <w:pPr>
        <w:pStyle w:val="Ttulo1"/>
        <w:rPr>
          <w:b/>
          <w:bCs/>
          <w:sz w:val="32"/>
          <w:szCs w:val="32"/>
        </w:rPr>
      </w:pPr>
      <w:r w:rsidRPr="00890919">
        <w:rPr>
          <w:b/>
          <w:bCs/>
          <w:sz w:val="32"/>
          <w:szCs w:val="32"/>
        </w:rPr>
        <w:t>Procedimiento</w:t>
      </w:r>
    </w:p>
    <w:p>
      <w:pPr/>
      <w:r>
        <w:t>A continuación se describen los pasos para operar el desarrollo. Algunos son de configuración inicial (una sola vez por máquina); el resto se ejecutan en cada ciclo de creación de activos.</w:t>
      </w:r>
    </w:p>
    <w:p>
      <w:pPr>
        <w:pStyle w:val="Ttulo2"/>
      </w:pPr>
      <w:r>
        <w:t>Paso 1. Configuración inicial (una sola vez por máquina)</w:t>
      </w:r>
    </w:p>
    <w:p>
      <w:r>
        <w:t xml:space="preserve">• </w:t>
      </w:r>
      <w:r>
        <w:t>Tipo de ejecución: Manual</w:t>
      </w:r>
    </w:p>
    <w:p>
      <w:r>
        <w:t xml:space="preserve">• </w:t>
      </w:r>
      <w:r>
        <w:t>Responsable: Usuario contable / Equipo de procesos TI</w:t>
      </w:r>
    </w:p>
    <w:p>
      <w:r>
        <w:t xml:space="preserve">• </w:t>
      </w:r>
      <w:r>
        <w:t>Descripción: habilitar SAP GUI Scripting en el cliente (Options → Accessibility &amp; Scripting → Scripting → "Enable scripting") y verificar que el parámetro de servidor sapgui/user_scripting=TRUE esté activo (transacción RZ11).</w:t>
      </w:r>
    </w:p>
    <w:p>
      <w:r>
        <w:t xml:space="preserve">• </w:t>
      </w:r>
      <w:r>
        <w:t>Herramienta / Sistema: SAP GUI for Windows</w:t>
      </w:r>
    </w:p>
    <w:p>
      <w:r>
        <w:t xml:space="preserve">• </w:t>
      </w:r>
      <w:r>
        <w:t>Resultado esperado: SAP GUI permite ejecución de scripts COM.</w:t>
      </w:r>
    </w:p>
    <w:p>
      <w:r>
        <w:t xml:space="preserve">• </w:t>
      </w:r>
      <w:r>
        <w:t>Evidencia: la opción "Enable scripting" marcada en Options.</w:t>
      </w:r>
    </w:p>
    <w:p>
      <w:pPr>
        <w:pStyle w:val="Ttulo2"/>
      </w:pPr>
      <w:r>
        <w:t>Paso 2. Inicio de sesión en SAP</w:t>
      </w:r>
    </w:p>
    <w:p>
      <w:r>
        <w:t xml:space="preserve">• </w:t>
      </w:r>
      <w:r>
        <w:t>Tipo de ejecución: Manual</w:t>
      </w:r>
    </w:p>
    <w:p>
      <w:r>
        <w:t xml:space="preserve">• </w:t>
      </w:r>
      <w:r>
        <w:t>Responsable: Usuario contable</w:t>
      </w:r>
    </w:p>
    <w:p>
      <w:r>
        <w:t xml:space="preserve">• </w:t>
      </w:r>
      <w:r>
        <w:t>Descripción: abrir SAP GUI e iniciar sesión con el usuario habilitado para crear activos fijos. La aplicación se conecta a esta sesión activa (no autentica por sí misma).</w:t>
      </w:r>
    </w:p>
    <w:p>
      <w:r>
        <w:t xml:space="preserve">• </w:t>
      </w:r>
      <w:r>
        <w:t>Herramienta / Sistema: SAP GUI</w:t>
      </w:r>
    </w:p>
    <w:p>
      <w:r>
        <w:t xml:space="preserve">• </w:t>
      </w:r>
      <w:r>
        <w:t>Resultado esperado: sesión SAP activa, en la pantalla inicial.</w:t>
      </w:r>
    </w:p>
    <w:p>
      <w:pPr>
        <w:pStyle w:val="Ttulo2"/>
      </w:pPr>
      <w:r>
        <w:t>Paso 3. Diligenciar el formato dinámico</w:t>
      </w:r>
    </w:p>
    <w:p>
      <w:r>
        <w:t xml:space="preserve">• </w:t>
      </w:r>
      <w:r>
        <w:t>Tipo de ejecución: Manual</w:t>
      </w:r>
    </w:p>
    <w:p>
      <w:r>
        <w:t xml:space="preserve">• </w:t>
      </w:r>
      <w:r>
        <w:t>Responsable: Usuario contable</w:t>
      </w:r>
    </w:p>
    <w:p>
      <w:r>
        <w:t xml:space="preserve">• </w:t>
      </w:r>
      <w:r>
        <w:t>Descripción: abrir Formato_Dinamico_.xlsx, completar la información del/los activo(s) en la hoja "Formato" (clase, sociedad, denominación, centro de costo, orden de inversión, elemento PEP, criterios de clasificación, etc.) y guardar el archivo. El guardado es crítico para que Excel recalcule las fórmulas de la hoja "LSMW".</w:t>
      </w:r>
    </w:p>
    <w:p>
      <w:r>
        <w:t xml:space="preserve">• </w:t>
      </w:r>
      <w:r>
        <w:t>Herramienta / Sistema: Microsoft Excel</w:t>
      </w:r>
    </w:p>
    <w:p>
      <w:r>
        <w:t xml:space="preserve">• </w:t>
      </w:r>
      <w:r>
        <w:t>Ruta: &lt;carpeta del ejecutable&gt;\resources\Formato_Dinamico_.xlsx (se crea automáticamente en el primer arranque de la aplicación).</w:t>
      </w:r>
    </w:p>
    <w:p>
      <w:r>
        <w:t xml:space="preserve">• </w:t>
      </w:r>
      <w:r>
        <w:t>Resultado esperado: archivo guardado con los datos del activo.</w:t>
      </w:r>
    </w:p>
    <w:p>
      <w:pPr>
        <w:pStyle w:val="Ttulo2"/>
      </w:pPr>
      <w:r>
        <w:t>Paso 4. Extraer información a .txt</w:t>
      </w:r>
    </w:p>
    <w:p>
      <w:r>
        <w:t xml:space="preserve">• </w:t>
      </w:r>
      <w:r>
        <w:t>Tipo de ejecución: Automático (gatillado por usuario)</w:t>
      </w:r>
    </w:p>
    <w:p>
      <w:r>
        <w:t xml:space="preserve">• </w:t>
      </w:r>
      <w:r>
        <w:t>Responsable: Usuario contable</w:t>
      </w:r>
    </w:p>
    <w:p>
      <w:r>
        <w:t xml:space="preserve">• </w:t>
      </w:r>
      <w:r>
        <w:t>Descripción: abrir GestionActivosFijos.exe, entrar a la tarjeta "Activos Fijos" y presionar "Extraer información en txt". La aplicación lee la hoja "LSMW" del Excel y genera un archivo .txt separado por tabulación. Si ya existía un .txt previo, pregunta si reemplazarlo.</w:t>
      </w:r>
    </w:p>
    <w:p>
      <w:r>
        <w:t xml:space="preserve">• </w:t>
      </w:r>
      <w:r>
        <w:t>Herramienta / Sistema: Gestión de Activos Fijos (.exe)</w:t>
      </w:r>
    </w:p>
    <w:p>
      <w:r>
        <w:t xml:space="preserve">• </w:t>
      </w:r>
      <w:r>
        <w:t>Resultado esperado: archivo LSMW_YYYYMMDD_HHMMSS.txt creado en &lt;carpeta del ejecutable&gt;\salida\.</w:t>
      </w:r>
    </w:p>
    <w:p>
      <w:r>
        <w:t xml:space="preserve">• </w:t>
      </w:r>
      <w:r>
        <w:t>Evidencia: presencia del .txt en la carpeta salida; mensaje verde "Archivo generado" en la pantalla.</w:t>
      </w:r>
    </w:p>
    <w:p>
      <w:pPr>
        <w:pStyle w:val="Ttulo2"/>
      </w:pPr>
      <w:r>
        <w:t>Paso 5. Creación de Activo en SAP (carga LSMW)</w:t>
      </w:r>
    </w:p>
    <w:p>
      <w:r>
        <w:t xml:space="preserve">• </w:t>
      </w:r>
      <w:r>
        <w:t>Tipo de ejecución: Automático</w:t>
      </w:r>
    </w:p>
    <w:p>
      <w:r>
        <w:t xml:space="preserve">• </w:t>
      </w:r>
      <w:r>
        <w:t>Responsable: Usuario contable</w:t>
      </w:r>
    </w:p>
    <w:p>
      <w:r>
        <w:t xml:space="preserve">• </w:t>
      </w:r>
      <w:r>
        <w:t>Descripción: con el .txt ya generado, presionar "Creación de Activo". La aplicación ejecuta los 10 pasos del flujo LSMW en SAP: Specify Files (inyecta la ruta del .txt) → Assign Files → Read Data → Display Read Data → Convert Data → Display Converted Data → Create Batch Input Session → Run Batch Input. La pantalla muestra el progreso paso a paso.</w:t>
      </w:r>
    </w:p>
    <w:p>
      <w:r>
        <w:t xml:space="preserve">• </w:t>
      </w:r>
      <w:r>
        <w:t>Herramienta / Sistema: SAP (transacción LSMW)</w:t>
      </w:r>
    </w:p>
    <w:p>
      <w:r>
        <w:t xml:space="preserve">• </w:t>
      </w:r>
      <w:r>
        <w:t>Prerrequisito: la sesión SAP debe tener el proyecto LSMW correcto pre-cargado (Subproject + Object). La aplicación no configura el proyecto; lo asume vigente desde la última selección manual del usuario.</w:t>
      </w:r>
    </w:p>
    <w:p>
      <w:r>
        <w:t xml:space="preserve">• </w:t>
      </w:r>
      <w:r>
        <w:t>Resultado esperado: activos creados en SAP con su BDC session ejecutada en modo error (radD0300-ERROR).</w:t>
      </w:r>
    </w:p>
    <w:p>
      <w:r>
        <w:t xml:space="preserve">• </w:t>
      </w:r>
      <w:r>
        <w:t>Evidencia: log BDC visible en la transacción SM35P, con los activos creados en él.</w:t>
      </w:r>
    </w:p>
    <w:p>
      <w:pPr>
        <w:pStyle w:val="Ttulo2"/>
      </w:pPr>
      <w:r>
        <w:t>Paso 6. Extraer Activos Creados</w:t>
      </w:r>
    </w:p>
    <w:p>
      <w:r>
        <w:t xml:space="preserve">• </w:t>
      </w:r>
      <w:r>
        <w:t>Tipo de ejecución: Automático</w:t>
      </w:r>
    </w:p>
    <w:p>
      <w:r>
        <w:t xml:space="preserve">• </w:t>
      </w:r>
      <w:r>
        <w:t>Responsable: Usuario contable</w:t>
      </w:r>
    </w:p>
    <w:p>
      <w:r>
        <w:t xml:space="preserve">• </w:t>
      </w:r>
      <w:r>
        <w:t>Descripción: en la tarjeta "Activos Fijos", presionar "Extraer Activos Creados", ingresar el Usuario SAP que ejecutó la carga y presionar "Ejecutar". La aplicación entra a SM35P, filtra los logs BDC por ese usuario (CREATOR=*&lt;usuario&gt;), abre el primer log y exporta el detalle a Excel. Luego post-procesa el archivo: renombra la hoja a "Logs", parsea los mensajes tipo "El act.fj. NNN SS se ha creado" y produce una segunda hoja "Activos Fijos" con la lista deduplicada de pares (activo, subnúmero).</w:t>
      </w:r>
    </w:p>
    <w:p>
      <w:r>
        <w:t xml:space="preserve">• </w:t>
      </w:r>
      <w:r>
        <w:t>Herramienta / Sistema: SAP (transacción SM35P)</w:t>
      </w:r>
    </w:p>
    <w:p>
      <w:r>
        <w:t xml:space="preserve">• </w:t>
      </w:r>
      <w:r>
        <w:t>Resultado esperado: archivo ActivosCreados_&lt;USUARIO&gt;_&lt;TIMESTAMP&gt;.xlsx en salida\, con dos hojas: "Logs" (export crudo de SAP) y "Activos Fijos" (lista parseada).</w:t>
      </w:r>
    </w:p>
    <w:p>
      <w:r>
        <w:t xml:space="preserve">• </w:t>
      </w:r>
      <w:r>
        <w:t>Evidencia: archivo .xlsx en salida con la cantidad esperada de activos.</w:t>
      </w:r>
    </w:p>
    <w:p>
      <w:pPr>
        <w:pStyle w:val="Ttulo2"/>
      </w:pPr>
      <w:r>
        <w:t>Paso 7. Subir Anexos de soporte</w:t>
      </w:r>
    </w:p>
    <w:p>
      <w:r>
        <w:t xml:space="preserve">• </w:t>
      </w:r>
      <w:r>
        <w:t>Tipo de ejecución: Automático</w:t>
      </w:r>
    </w:p>
    <w:p>
      <w:r>
        <w:t xml:space="preserve">• </w:t>
      </w:r>
      <w:r>
        <w:t>Responsable: Usuario contable</w:t>
      </w:r>
    </w:p>
    <w:p>
      <w:r>
        <w:t xml:space="preserve">• </w:t>
      </w:r>
      <w:r>
        <w:t>Descripción: en la tarjeta "Activos Fijos", presionar "Subir Anexos". Seleccionar Sociedad y los archivos a adjuntar. La aplicación toma el archivo ActivosCreados_*.xlsx más reciente y, para cada par (activo, archivo), ejecuta el flujo AS02 (Cambio Activo Fijo) + GOS Toolbox → Crear Adjunto (PCATTA_CREA), inyectando la ruta absoluta del archivo. El proceso es "soft-fail": si una iteración falla, se acumula en el reporte final pero no aborta las demás.</w:t>
      </w:r>
    </w:p>
    <w:p>
      <w:r>
        <w:t xml:space="preserve">• </w:t>
      </w:r>
      <w:r>
        <w:t>Herramienta / Sistema: SAP (AS02 + GOS PCATTA_CREA)</w:t>
      </w:r>
    </w:p>
    <w:p>
      <w:r>
        <w:t xml:space="preserve">• </w:t>
      </w:r>
      <w:r>
        <w:t>Resultado esperado: cada activo del .xlsx tiene los archivos seleccionados adjuntos en SAP. Al final aparece un mensaje "X OK / Y fallos" con detalle.</w:t>
      </w:r>
    </w:p>
    <w:p>
      <w:r>
        <w:t xml:space="preserve">• </w:t>
      </w:r>
      <w:r>
        <w:t>Evidencia: anexos visibles en cada activo (Object Services → Lista de Adjuntos en AS03).</w:t>
      </w:r>
    </w:p>
    <w:p>
      <w:pPr>
        <w:pStyle w:val="Ttulo2"/>
      </w:pPr>
      <w:r>
        <w:t>Paso 8. Generar Reporte SOX (Control HUB.PPE.01)</w:t>
      </w:r>
    </w:p>
    <w:p>
      <w:r>
        <w:t xml:space="preserve">• </w:t>
      </w:r>
      <w:r>
        <w:t>Tipo de ejecución: Automático</w:t>
      </w:r>
    </w:p>
    <w:p>
      <w:r>
        <w:t xml:space="preserve">• </w:t>
      </w:r>
      <w:r>
        <w:t>Responsable: Usuario contable / Responsable de control SOX</w:t>
      </w:r>
    </w:p>
    <w:p>
      <w:r>
        <w:t xml:space="preserve">• </w:t>
      </w:r>
      <w:r>
        <w:t>Descripción: entrar a la tarjeta "Control SOX" y luego al botón "HUB.PPE.01 Creación de Activos Fijos". Ingresar Sociedad, Fecha Desde y Fecha Hasta (formato dd.mm.aaaa) y presionar "Generar Reporte SOX". La aplicación: (1) ejecuta la transacción AR15 con esos parámetros; (2) toma cinco capturas de pantalla como evidencia (parámetros ingresados, primer registro del grid, último registro, status bar con bytes exportados, diálogo Propiedades del archivo); (3) exporta el grid a Excel; (4) lee ese intermedio y genera el deliverable final "Población_&lt;SOCIEDAD&gt;_&lt;FECHA_HASTA&gt;.xlsx" con tres hojas: "Original_SAP" (copia 1:1 del export), "Creados" (filas filtradas por mensaje "*** creado ***" con dos columnas de fórmulas Excel para clasificar PPE/Intangible/Activo Construcción) y "IPE" (las cinco capturas embebidas como evidencia visual del control).</w:t>
      </w:r>
    </w:p>
    <w:p>
      <w:r>
        <w:t xml:space="preserve">• </w:t>
      </w:r>
      <w:r>
        <w:t>Herramienta / Sistema: SAP (transacción AR15)</w:t>
      </w:r>
    </w:p>
    <w:p>
      <w:r>
        <w:t xml:space="preserve">• </w:t>
      </w:r>
      <w:r>
        <w:t>Resultado esperado: archivo Población_&lt;SOC&gt;_&lt;FECHA_HASTA&gt;.xlsx en salida\, completo y listo para evidenciar el control SOX.</w:t>
      </w:r>
    </w:p>
    <w:p>
      <w:r>
        <w:t xml:space="preserve">• </w:t>
      </w:r>
      <w:r>
        <w:t>Evidencia: archivo .xlsx en salida con sus tres hojas; la hoja IPE contiene las capturas requeridas por el control.</w:t>
      </w:r>
    </w:p>
    <w:p w14:paraId="6FAE5C1D" w14:textId="700AB5C4" w:rsidR="00295FC1" w:rsidRPr="00890919" w:rsidRDefault="00295FC1" w:rsidP="00295FC1">
      <w:pPr>
        <w:pStyle w:val="Ttulo1"/>
        <w:rPr>
          <w:b/>
          <w:bCs/>
          <w:sz w:val="32"/>
          <w:szCs w:val="32"/>
        </w:rPr>
      </w:pPr>
      <w:r w:rsidRPr="00890919">
        <w:rPr>
          <w:b/>
          <w:bCs/>
          <w:sz w:val="32"/>
          <w:szCs w:val="32"/>
        </w:rPr>
        <w:t>Arquitectura de la solución</w:t>
      </w:r>
    </w:p>
    <w:p>
      <w:pPr/>
      <w:r>
        <w:t>El desarrollo se compone de los siguientes elementos:</w:t>
      </w:r>
    </w:p>
    <w:p>
      <w:pPr>
        <w:pStyle w:val="Ttulo2"/>
      </w:pPr>
      <w:r>
        <w:t>Componentes técnicos</w:t>
      </w:r>
    </w:p>
    <w:p>
      <w:r>
        <w:t xml:space="preserve">• </w:t>
      </w:r>
      <w:r>
        <w:t>Lenguaje: Python 3.9+ con Tkinter para la interfaz gráfica.</w:t>
      </w:r>
    </w:p>
    <w:p>
      <w:r>
        <w:t xml:space="preserve">• </w:t>
      </w:r>
      <w:r>
        <w:t>Empaquetado: PyInstaller — un único archivo GestionActivosFijos.exe distribuible a Windows sin requerir Python instalado.</w:t>
      </w:r>
    </w:p>
    <w:p>
      <w:r>
        <w:t xml:space="preserve">• </w:t>
      </w:r>
      <w:r>
        <w:t>Librerías clave: openpyxl (lectura/escritura de Excel), tkcalendar (calendario para fechas SOX), Pillow (capturas de pantalla IPE), pywin32 (puente COM para SAP GUI Scripting).</w:t>
      </w:r>
    </w:p>
    <w:p>
      <w:pPr>
        <w:pStyle w:val="Ttulo2"/>
      </w:pPr>
      <w:r>
        <w:t>Fuentes de datos</w:t>
      </w:r>
    </w:p>
    <w:p>
      <w:r>
        <w:t xml:space="preserve">• </w:t>
      </w:r>
      <w:r>
        <w:t>SAP — transacciones LSMW (carga), AS02 + GOS PCATTA_CREA (adjuntos), SM35P (consulta de logs BDC), AR15 (reporte SOX).</w:t>
      </w:r>
    </w:p>
    <w:p>
      <w:r>
        <w:t xml:space="preserve">• </w:t>
      </w:r>
      <w:r>
        <w:t>Formato_Dinamico_.xlsx — Excel maestro con la información de los activos a crear. Se entrega como "factory default" embebido en el ejecutable y se extrae a &lt;carpeta del exe&gt;\resources\ en el primer arranque para que el usuario lo pueda editar libremente.</w:t>
      </w:r>
    </w:p>
    <w:p>
      <w:r>
        <w:t xml:space="preserve">• </w:t>
      </w:r>
      <w:r>
        <w:t>Archivos del usuario para anexos (PDF, JPG, XLSX, etc.) — seleccionados desde la GUI al momento de adjuntar.</w:t>
      </w:r>
    </w:p>
    <w:p>
      <w:pPr>
        <w:pStyle w:val="Ttulo2"/>
      </w:pPr>
      <w:r>
        <w:t>Procesamiento</w:t>
      </w:r>
    </w:p>
    <w:p>
      <w:r>
        <w:t xml:space="preserve">• </w:t>
      </w:r>
      <w:r>
        <w:t>Lectura del Excel maestro con openpyxl (modo data_only=True) y serialización a .txt separado por tabulación.</w:t>
      </w:r>
    </w:p>
    <w:p>
      <w:r>
        <w:t xml:space="preserve">• </w:t>
      </w:r>
      <w:r>
        <w:t>Orquestación de SAP GUI Scripting vía win32com.client.GetObject ("SAPGUI"); cada paso del flujo es una función Python dedicada ("open_lsmw", "configurar_ruta_archivo", "step_run_batch_input", etc.) que ejecuta los métodos findById/sendVKey/setattr capturados en grabaciones VBS.</w:t>
      </w:r>
    </w:p>
    <w:p>
      <w:r>
        <w:t xml:space="preserve">• </w:t>
      </w:r>
      <w:r>
        <w:t>Captura de pantalla con Pillow ImageGrab para las evidencias IPE del control SOX.</w:t>
      </w:r>
    </w:p>
    <w:p>
      <w:r>
        <w:t xml:space="preserve">• </w:t>
      </w:r>
      <w:r>
        <w:t>Post-procesamiento Excel con openpyxl para generar las hojas derivadas (Población, Creados, IPE, Activos Fijos).</w:t>
      </w:r>
    </w:p>
    <w:p>
      <w:r>
        <w:t xml:space="preserve">• </w:t>
      </w:r>
      <w:r>
        <w:t>Apartamento COM (pythoncom.CoInitialize) inicializado en cada thread worker para que los flujos SAP que corren en background no congelen la GUI.</w:t>
      </w:r>
    </w:p>
    <w:p>
      <w:pPr>
        <w:pStyle w:val="Ttulo2"/>
      </w:pPr>
      <w:r>
        <w:t>Salidas</w:t>
      </w:r>
    </w:p>
    <w:p>
      <w:r>
        <w:t xml:space="preserve">• </w:t>
      </w:r>
      <w:r>
        <w:t>Carpeta salida\ al lado del ejecutable, donde la aplicación deposita todos los archivos generados (.txt, .xlsx).</w:t>
      </w:r>
    </w:p>
    <w:p>
      <w:pPr>
        <w:pStyle w:val="Ttulo2"/>
      </w:pPr>
      <w:r>
        <w:t>Flujo de información</w:t>
      </w:r>
    </w:p>
    <w:p>
      <w:pPr/>
      <w:r>
        <w:t>Excel maestro → .txt LSMW → SAP (carga LSMW) → SAP (SM35P log) → ActivosCreados.xlsx → SAP (AS02 + GOS, adjuntos) → SAP (AR15) → Población.xlsx (Reporte SOX).</w:t>
      </w:r>
    </w:p>
    <w:p w14:paraId="4E3FD3DD" w14:textId="4F09F8CD" w:rsidR="00BF11FB" w:rsidRPr="00890919" w:rsidRDefault="00BF11FB" w:rsidP="00BF11FB">
      <w:pPr>
        <w:pStyle w:val="Ttulo1"/>
        <w:rPr>
          <w:b/>
          <w:bCs/>
          <w:sz w:val="32"/>
          <w:szCs w:val="32"/>
        </w:rPr>
      </w:pPr>
      <w:r w:rsidRPr="00890919">
        <w:rPr>
          <w:b/>
          <w:bCs/>
          <w:sz w:val="32"/>
          <w:szCs w:val="32"/>
        </w:rPr>
        <w:lastRenderedPageBreak/>
        <w:t>Fuentes de información</w:t>
      </w:r>
    </w:p>
    <w:p>
      <w:pPr/>
      <w:r>
        <w:t>Las fuentes de información que el desarrollo consume y produce son las siguientes:</w:t>
      </w:r>
    </w:p>
    <w:p>
      <w:pPr>
        <w:pStyle w:val="Ttulo2"/>
      </w:pPr>
      <w:r>
        <w:t>Sistemas SAP</w:t>
      </w:r>
    </w:p>
    <w:p>
      <w:r>
        <w:t xml:space="preserve">• </w:t>
      </w:r>
      <w:r>
        <w:t>Transacción LSMW (Legacy System Migration Workbench) — carga masiva de activos.</w:t>
      </w:r>
    </w:p>
    <w:p>
      <w:r>
        <w:t xml:space="preserve">• </w:t>
      </w:r>
      <w:r>
        <w:t>Transacción AS02 — modificación de activo fijo. Se usa como entrada al menú GOS (Generic Object Services) para adjuntar archivos.</w:t>
      </w:r>
    </w:p>
    <w:p>
      <w:r>
        <w:t xml:space="preserve">• </w:t>
      </w:r>
      <w:r>
        <w:t>Servicio GOS "PCATTA_CREA" — crear adjunto desde el Object Services Toolbox.</w:t>
      </w:r>
    </w:p>
    <w:p>
      <w:r>
        <w:t xml:space="preserve">• </w:t>
      </w:r>
      <w:r>
        <w:t>Transacción SM35P — Monitor de Logs de Batch Input. Se filtra por usuario para extraer los activos creados.</w:t>
      </w:r>
    </w:p>
    <w:p>
      <w:r>
        <w:t xml:space="preserve">• </w:t>
      </w:r>
      <w:r>
        <w:t>Transacción AR15 — Reporte de altas y bajas de activos por sociedad. Base del control SOX.</w:t>
      </w:r>
    </w:p>
    <w:p>
      <w:pPr>
        <w:pStyle w:val="Ttulo2"/>
      </w:pPr>
      <w:r>
        <w:t>Archivos locales</w:t>
      </w:r>
    </w:p>
    <w:p>
      <w:r>
        <w:t xml:space="preserve">• </w:t>
      </w:r>
      <w:r>
        <w:t>Formato_Dinamico_.xlsx — entrada manual del usuario; ubicado en &lt;carpeta del exe&gt;\resources\.</w:t>
      </w:r>
    </w:p>
    <w:p>
      <w:r>
        <w:t xml:space="preserve">• </w:t>
      </w:r>
      <w:r>
        <w:t>Archivos a adjuntar — cualquier archivo seleccionado desde el diálogo "Seleccionar archivos" en la pantalla de Subir Anexos.</w:t>
      </w:r>
    </w:p>
    <w:p>
      <w:pPr>
        <w:pStyle w:val="Ttulo2"/>
      </w:pPr>
      <w:r>
        <w:t>Configuración SAP requerida</w:t>
      </w:r>
    </w:p>
    <w:p>
      <w:r>
        <w:t xml:space="preserve">• </w:t>
      </w:r>
      <w:r>
        <w:t>Cliente SAP GUI — opción "Enable scripting" activada (Options → Accessibility &amp; Scripting).</w:t>
      </w:r>
    </w:p>
    <w:p>
      <w:r>
        <w:t xml:space="preserve">• </w:t>
      </w:r>
      <w:r>
        <w:t>Servidor SAP — parámetro sapgui/user_scripting=TRUE habilitado (coordinar con el equipo Basis si no está activo).</w:t>
      </w:r>
    </w:p>
    <w:p>
      <w:r>
        <w:t xml:space="preserve">• </w:t>
      </w:r>
      <w:r>
        <w:t>Usuario SAP con permisos para crear activos (LSMW), consultar logs BDC (SM35P), modificar activos (AS02) y ejecutar AR15.</w:t>
      </w:r>
    </w:p>
    <w:p w14:paraId="7F941854" w14:textId="72A7F9B5" w:rsidR="00BF11FB" w:rsidRPr="00890919" w:rsidRDefault="00BF11FB" w:rsidP="00BF11FB">
      <w:pPr>
        <w:pStyle w:val="Ttulo1"/>
        <w:rPr>
          <w:b/>
          <w:bCs/>
          <w:sz w:val="32"/>
          <w:szCs w:val="32"/>
        </w:rPr>
      </w:pPr>
      <w:r w:rsidRPr="00890919">
        <w:rPr>
          <w:b/>
          <w:bCs/>
          <w:sz w:val="32"/>
          <w:szCs w:val="32"/>
        </w:rPr>
        <w:t>Entregables</w:t>
      </w:r>
    </w:p>
    <w:p>
      <w:pPr/>
      <w:r>
        <w:t>Como resultado de la ejecución del desarrollo se producen los siguientes entregables:</w:t>
      </w:r>
    </w:p>
    <w:p>
      <w:pPr>
        <w:pStyle w:val="Ttulo2"/>
      </w:pPr>
      <w:r>
        <w:t>Archivos en disco (carpeta salida\)</w:t>
      </w:r>
    </w:p>
    <w:p>
      <w:r>
        <w:t xml:space="preserve">• </w:t>
      </w:r>
      <w:r>
        <w:t>LSMW_YYYYMMDD_HHMMSS.txt — archivo separado por tabulación que alimenta la carga LSMW. Es entrada intermedia, no entregable para auditoría.</w:t>
      </w:r>
    </w:p>
    <w:p>
      <w:r>
        <w:t xml:space="preserve">• </w:t>
      </w:r>
      <w:r>
        <w:t>ActivosCreados_&lt;USUARIO&gt;_&lt;TIMESTAMP&gt;.xlsx — listado de activos creados en SAP por usuario, con dos hojas: "Logs" (export crudo del log SM35P) y "Activos Fijos" (pares (activo, subnúmero) parseados y deduplicados). Alimenta el proceso de subida de anexos.</w:t>
      </w:r>
    </w:p>
    <w:p>
      <w:r>
        <w:t xml:space="preserve">• </w:t>
      </w:r>
      <w:r>
        <w:t>Población_&lt;SOCIEDAD&gt;_&lt;FECHA_HASTA&gt;.xlsx — deliverable principal del control SOX HUB.PPE.01. Tres hojas: "Original_SAP" (export crudo de AR15), "Creados" (filas filtradas con clasificación PPE/Intangible/Activo Construcción) e "IPE" (cinco capturas de pantalla embebidas como evidencia visual del control).</w:t>
      </w:r>
    </w:p>
    <w:p>
      <w:pPr>
        <w:pStyle w:val="Ttulo2"/>
      </w:pPr>
      <w:r>
        <w:t>Resultados en SAP</w:t>
      </w:r>
    </w:p>
    <w:p>
      <w:r>
        <w:t xml:space="preserve">• </w:t>
      </w:r>
      <w:r>
        <w:t>Activos fijos creados con su numeración y datos contables del formato dinámico.</w:t>
      </w:r>
    </w:p>
    <w:p>
      <w:r>
        <w:t xml:space="preserve">• </w:t>
      </w:r>
      <w:r>
        <w:t>Anexos (PDF, JPG, XLSX, etc.) adjuntos a cada activo vía Object Services. Consultables en AS03 → menú GOS → Lista de Adjuntos.</w:t>
      </w:r>
    </w:p>
    <w:p>
      <w:pPr>
        <w:pStyle w:val="Ttulo2"/>
      </w:pPr>
      <w:r>
        <w:t>Uso dentro del proceso contable</w:t>
      </w:r>
    </w:p>
    <w:p>
      <w:r>
        <w:t xml:space="preserve">• </w:t>
      </w:r>
      <w:r>
        <w:t>La extracción .txt + carga LSMW reemplaza la captura manual de activos uno a uno en SAP, reduciendo el tiempo del ciclo de creación y eliminando errores de tipeo.</w:t>
      </w:r>
    </w:p>
    <w:p>
      <w:r>
        <w:t xml:space="preserve">• </w:t>
      </w:r>
      <w:r>
        <w:t>El ActivosCreados.xlsx sirve como insumo del proceso de carga de soportes (anexos) y para auditoría del lote creado.</w:t>
      </w:r>
    </w:p>
    <w:p>
      <w:r>
        <w:t xml:space="preserve">• </w:t>
      </w:r>
      <w:r>
        <w:t>El Población.xlsx con sus tres hojas se entrega al área de auditoría como evidencia del control SOX HUB.PPE.01 (Creación de Activos Fijos) del cierre mensual.</w:t>
      </w:r>
    </w:p>
    <w:sectPr w:rsidR="00287FB3" w:rsidRPr="00287FB3">
      <w:headerReference w:type="default" r:id="rId7"/>
      <w:footerReference w:type="even" r:id="rId8"/>
      <w:footerReference w:type="default" r:id="rId9"/>
      <w:footerReference w:type="firs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5D312" w14:textId="77777777" w:rsidR="00555B7E" w:rsidRDefault="00555B7E" w:rsidP="00287FB3">
      <w:pPr>
        <w:spacing w:after="0" w:line="240" w:lineRule="auto"/>
      </w:pPr>
      <w:r>
        <w:separator/>
      </w:r>
    </w:p>
  </w:endnote>
  <w:endnote w:type="continuationSeparator" w:id="0">
    <w:p w14:paraId="16EC296A" w14:textId="77777777" w:rsidR="00555B7E" w:rsidRDefault="00555B7E" w:rsidP="00287F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F36B7" w14:textId="6D8E5A57" w:rsidR="00287FB3" w:rsidRDefault="00287FB3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2CBBD0" wp14:editId="3CA3FC5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67840" cy="441960"/>
              <wp:effectExtent l="0" t="0" r="3810" b="0"/>
              <wp:wrapNone/>
              <wp:docPr id="168426876" name="Cuadro de texto 3" descr="Información 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67840" cy="441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AA0888" w14:textId="6A163BE5" w:rsidR="00287FB3" w:rsidRPr="00287FB3" w:rsidRDefault="00287FB3" w:rsidP="00287FB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8"/>
                              <w:szCs w:val="28"/>
                            </w:rPr>
                          </w:pPr>
                          <w:r w:rsidRPr="00287FB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8"/>
                              <w:szCs w:val="28"/>
                            </w:rPr>
                            <w:t>Información 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2CBBD0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6" type="#_x0000_t202" alt="Información Interna" style="position:absolute;margin-left:0;margin-top:0;width:139.2pt;height:34.8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64AA0888" w14:textId="6A163BE5" w:rsidR="00287FB3" w:rsidRPr="00287FB3" w:rsidRDefault="00287FB3" w:rsidP="00287FB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8"/>
                        <w:szCs w:val="28"/>
                      </w:rPr>
                    </w:pPr>
                    <w:r w:rsidRPr="00287FB3">
                      <w:rPr>
                        <w:rFonts w:ascii="Aptos" w:eastAsia="Aptos" w:hAnsi="Aptos" w:cs="Aptos"/>
                        <w:noProof/>
                        <w:color w:val="000000"/>
                        <w:sz w:val="28"/>
                        <w:szCs w:val="28"/>
                      </w:rPr>
                      <w:t>Información 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Ind w:w="-5" w:type="dxa"/>
      <w:tblLook w:val="04A0" w:firstRow="1" w:lastRow="0" w:firstColumn="1" w:lastColumn="0" w:noHBand="0" w:noVBand="1"/>
    </w:tblPr>
    <w:tblGrid>
      <w:gridCol w:w="2942"/>
      <w:gridCol w:w="2943"/>
      <w:gridCol w:w="2943"/>
    </w:tblGrid>
    <w:tr w:rsidR="00287FB3" w14:paraId="7FFB673E" w14:textId="77777777" w:rsidTr="00287FB3">
      <w:tc>
        <w:tcPr>
          <w:tcW w:w="2942" w:type="dxa"/>
        </w:tcPr>
        <w:p w14:paraId="30B23A2C" w14:textId="2F0B5A9A" w:rsidR="00287FB3" w:rsidRDefault="00287FB3" w:rsidP="00287FB3">
          <w:r>
            <w:t xml:space="preserve">Elaborado </w:t>
          </w:r>
          <w:r>
            <w:t>p</w:t>
          </w:r>
          <w:r>
            <w:t>or:</w:t>
          </w:r>
        </w:p>
      </w:tc>
      <w:tc>
        <w:tcPr>
          <w:tcW w:w="2943" w:type="dxa"/>
        </w:tcPr>
        <w:p w14:paraId="406E694D" w14:textId="724AED1C" w:rsidR="00287FB3" w:rsidRDefault="00287FB3" w:rsidP="00287FB3">
          <w:r>
            <w:t xml:space="preserve">Revisado </w:t>
          </w:r>
          <w:r>
            <w:t>p</w:t>
          </w:r>
          <w:r>
            <w:t>or:</w:t>
          </w:r>
        </w:p>
      </w:tc>
      <w:tc>
        <w:tcPr>
          <w:tcW w:w="2943" w:type="dxa"/>
        </w:tcPr>
        <w:p w14:paraId="66CA751A" w14:textId="48E9A969" w:rsidR="00287FB3" w:rsidRDefault="00287FB3" w:rsidP="00287FB3">
          <w:r>
            <w:t xml:space="preserve">Aprobado </w:t>
          </w:r>
          <w:r>
            <w:t>p</w:t>
          </w:r>
          <w:r>
            <w:t>or:</w:t>
          </w:r>
        </w:p>
      </w:tc>
    </w:tr>
    <w:tr w:rsidR="00287FB3" w14:paraId="0C3374F5" w14:textId="77777777" w:rsidTr="00287FB3">
      <w:tc>
        <w:tcPr>
          <w:tcW w:w="2942" w:type="dxa"/>
        </w:tcPr>
        <w:p w14:paraId="6AB4BEF1" w14:textId="77777777" w:rsidR="00287FB3" w:rsidRDefault="00287FB3" w:rsidP="00287FB3"/>
      </w:tc>
      <w:tc>
        <w:tcPr>
          <w:tcW w:w="2943" w:type="dxa"/>
        </w:tcPr>
        <w:p w14:paraId="330E027C" w14:textId="77777777" w:rsidR="00287FB3" w:rsidRDefault="00287FB3" w:rsidP="00287FB3"/>
      </w:tc>
      <w:tc>
        <w:tcPr>
          <w:tcW w:w="2943" w:type="dxa"/>
        </w:tcPr>
        <w:p w14:paraId="3B822E35" w14:textId="77777777" w:rsidR="00287FB3" w:rsidRDefault="00287FB3" w:rsidP="00287FB3"/>
      </w:tc>
    </w:tr>
  </w:tbl>
  <w:p w14:paraId="43C8B4E1" w14:textId="619F8795" w:rsidR="00287FB3" w:rsidRDefault="002C0D21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2B4E9E5" wp14:editId="4212134E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767840" cy="441960"/>
              <wp:effectExtent l="0" t="0" r="3810" b="0"/>
              <wp:wrapNone/>
              <wp:docPr id="1451887563" name="Cuadro de texto 4" descr="Información 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67840" cy="441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B11224" w14:textId="4111B9EF" w:rsidR="00287FB3" w:rsidRPr="00287FB3" w:rsidRDefault="00287FB3" w:rsidP="00287FB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8"/>
                              <w:szCs w:val="28"/>
                            </w:rPr>
                          </w:pPr>
                          <w:r w:rsidRPr="00287FB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8"/>
                              <w:szCs w:val="28"/>
                            </w:rPr>
                            <w:t>Información 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B4E9E5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7" type="#_x0000_t202" alt="Información Interna" style="position:absolute;margin-left:0;margin-top:0;width:139.2pt;height:34.8pt;z-index:251660288;visibility:visible;mso-wrap-style:none;mso-height-percent:0;mso-wrap-distance-left:0;mso-wrap-distance-top:0;mso-wrap-distance-right:0;mso-wrap-distance-bottom:0;mso-position-horizontal:left;mso-position-horizontal-relative:page;mso-position-vertical:bottom;mso-position-vertical-relative:page;mso-height-percent:0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41B11224" w14:textId="4111B9EF" w:rsidR="00287FB3" w:rsidRPr="00287FB3" w:rsidRDefault="00287FB3" w:rsidP="00287FB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8"/>
                        <w:szCs w:val="28"/>
                      </w:rPr>
                    </w:pPr>
                    <w:r w:rsidRPr="00287FB3">
                      <w:rPr>
                        <w:rFonts w:ascii="Aptos" w:eastAsia="Aptos" w:hAnsi="Aptos" w:cs="Aptos"/>
                        <w:noProof/>
                        <w:color w:val="000000"/>
                        <w:sz w:val="28"/>
                        <w:szCs w:val="28"/>
                      </w:rPr>
                      <w:t>Información 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C4EDE" w14:textId="30ECA31D" w:rsidR="00287FB3" w:rsidRDefault="00287FB3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13A5EBD" wp14:editId="1E819D9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67840" cy="441960"/>
              <wp:effectExtent l="0" t="0" r="3810" b="0"/>
              <wp:wrapNone/>
              <wp:docPr id="193538210" name="Cuadro de texto 2" descr="Información 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67840" cy="441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6FD926" w14:textId="51EA4BE3" w:rsidR="00287FB3" w:rsidRPr="00287FB3" w:rsidRDefault="00287FB3" w:rsidP="00287FB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8"/>
                              <w:szCs w:val="28"/>
                            </w:rPr>
                          </w:pPr>
                          <w:r w:rsidRPr="00287FB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8"/>
                              <w:szCs w:val="28"/>
                            </w:rPr>
                            <w:t>Información 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3A5EB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alt="Información Interna" style="position:absolute;margin-left:0;margin-top:0;width:139.2pt;height:34.8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046FD926" w14:textId="51EA4BE3" w:rsidR="00287FB3" w:rsidRPr="00287FB3" w:rsidRDefault="00287FB3" w:rsidP="00287FB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8"/>
                        <w:szCs w:val="28"/>
                      </w:rPr>
                    </w:pPr>
                    <w:r w:rsidRPr="00287FB3">
                      <w:rPr>
                        <w:rFonts w:ascii="Aptos" w:eastAsia="Aptos" w:hAnsi="Aptos" w:cs="Aptos"/>
                        <w:noProof/>
                        <w:color w:val="000000"/>
                        <w:sz w:val="28"/>
                        <w:szCs w:val="28"/>
                      </w:rPr>
                      <w:t>Información 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9B7D2" w14:textId="77777777" w:rsidR="00555B7E" w:rsidRDefault="00555B7E" w:rsidP="00287FB3">
      <w:pPr>
        <w:spacing w:after="0" w:line="240" w:lineRule="auto"/>
      </w:pPr>
      <w:r>
        <w:separator/>
      </w:r>
    </w:p>
  </w:footnote>
  <w:footnote w:type="continuationSeparator" w:id="0">
    <w:p w14:paraId="667CDF6E" w14:textId="77777777" w:rsidR="00555B7E" w:rsidRDefault="00555B7E" w:rsidP="00287F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1873"/>
      <w:gridCol w:w="4234"/>
      <w:gridCol w:w="1502"/>
      <w:gridCol w:w="1219"/>
    </w:tblGrid>
    <w:tr w:rsidR="00287FB3" w14:paraId="7E5A5680" w14:textId="77777777" w:rsidTr="00287FB3">
      <w:trPr>
        <w:trHeight w:val="410"/>
      </w:trPr>
      <w:tc>
        <w:tcPr>
          <w:tcW w:w="1129" w:type="dxa"/>
          <w:vMerge w:val="restart"/>
        </w:tcPr>
        <w:p w14:paraId="16193B76" w14:textId="3A7AE483" w:rsidR="00287FB3" w:rsidRDefault="00287FB3" w:rsidP="00287FB3">
          <w:r w:rsidRPr="00287FB3">
            <w:rPr>
              <w:lang w:val="es-CO"/>
            </w:rPr>
            <w:drawing>
              <wp:inline distT="0" distB="0" distL="0" distR="0" wp14:anchorId="179D3D26" wp14:editId="063FA031">
                <wp:extent cx="1052621" cy="610520"/>
                <wp:effectExtent l="0" t="0" r="0" b="0"/>
                <wp:docPr id="17" name="Imagen 16" descr="Imagen que contiene Logotipo&#10;&#10;El contenido generado por IA puede ser incorrecto.">
                  <a:extLst xmlns:a="http://schemas.openxmlformats.org/drawingml/2006/main">
                    <a:ext uri="{FF2B5EF4-FFF2-40B4-BE49-F238E27FC236}">
                      <a16:creationId xmlns:a16="http://schemas.microsoft.com/office/drawing/2014/main" id="{5D21599D-3D35-3676-8EF4-70E5A2CA8A2C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Imagen 16" descr="Imagen que contiene Logotipo&#10;&#10;El contenido generado por IA puede ser incorrecto.">
                          <a:extLst>
                            <a:ext uri="{FF2B5EF4-FFF2-40B4-BE49-F238E27FC236}">
                              <a16:creationId xmlns:a16="http://schemas.microsoft.com/office/drawing/2014/main" id="{5D21599D-3D35-3676-8EF4-70E5A2CA8A2C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2621" cy="610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56" w:type="dxa"/>
        </w:tcPr>
        <w:p w14:paraId="610AD35D" w14:textId="49C202A4" w:rsidR="00287FB3" w:rsidRPr="00720C92" w:rsidRDefault="00287FB3" w:rsidP="00287FB3">
          <w:pPr>
            <w:jc w:val="center"/>
            <w:rPr>
              <w:color w:val="FF0000"/>
            </w:rPr>
          </w:pPr>
          <w:r>
            <w:t>Manual Técnico del Desarrollo</w:t>
          </w:r>
        </w:p>
      </w:tc>
      <w:tc>
        <w:tcPr>
          <w:tcW w:w="1640" w:type="dxa"/>
        </w:tcPr>
        <w:p w14:paraId="775B8B25" w14:textId="0C11B03C" w:rsidR="00287FB3" w:rsidRDefault="00287FB3" w:rsidP="00287FB3">
          <w:r>
            <w:t>Jun</w:t>
          </w:r>
          <w:r>
            <w:t>. 202</w:t>
          </w:r>
          <w:r>
            <w:t>6</w:t>
          </w:r>
        </w:p>
      </w:tc>
      <w:tc>
        <w:tcPr>
          <w:tcW w:w="1303" w:type="dxa"/>
          <w:vMerge w:val="restart"/>
        </w:tcPr>
        <w:p w14:paraId="04BB38F7" w14:textId="2A63BB48" w:rsidR="00287FB3" w:rsidRDefault="00287FB3" w:rsidP="00287FB3">
          <w:pPr>
            <w:jc w:val="center"/>
          </w:pPr>
          <w:r>
            <w:t>P</w:t>
          </w:r>
          <w:r>
            <w:t>á</w:t>
          </w:r>
          <w:r>
            <w:t>gina</w:t>
          </w:r>
        </w:p>
        <w:p w14:paraId="6BA10844" w14:textId="77777777" w:rsidR="00287FB3" w:rsidRDefault="00287FB3" w:rsidP="00287FB3">
          <w:pPr>
            <w:jc w:val="center"/>
          </w:pPr>
        </w:p>
        <w:p w14:paraId="338487CB" w14:textId="77777777" w:rsidR="00287FB3" w:rsidRDefault="00287FB3" w:rsidP="00287FB3">
          <w:pPr>
            <w:jc w:val="center"/>
          </w:pP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</w:p>
      </w:tc>
    </w:tr>
    <w:tr w:rsidR="00287FB3" w14:paraId="60F5ADAF" w14:textId="77777777" w:rsidTr="00287FB3">
      <w:trPr>
        <w:trHeight w:val="416"/>
      </w:trPr>
      <w:tc>
        <w:tcPr>
          <w:tcW w:w="1129" w:type="dxa"/>
          <w:vMerge/>
        </w:tcPr>
        <w:p w14:paraId="6AB571F2" w14:textId="77777777" w:rsidR="00287FB3" w:rsidRDefault="00287FB3" w:rsidP="00287FB3"/>
      </w:tc>
      <w:tc>
        <w:tcPr>
          <w:tcW w:w="4756" w:type="dxa"/>
        </w:tcPr>
        <w:p w14:paraId="4DE13E16" w14:textId="5F4BC83C" w:rsidR="00287FB3" w:rsidRPr="00720C92" w:rsidRDefault="00287FB3" w:rsidP="00287FB3">
          <w:pPr>
            <w:jc w:val="center"/>
            <w:rPr>
              <w:color w:val="FF0000"/>
            </w:rPr>
          </w:pPr>
          <w:r>
            <w:t>“</w:t>
          </w:r>
          <w:r w:rsidRPr="00287FB3">
            <w:rPr>
              <w:i/>
              <w:iCs/>
            </w:rPr>
            <w:t>Nombre d</w:t>
          </w:r>
          <w:r>
            <w:rPr>
              <w:i/>
              <w:iCs/>
            </w:rPr>
            <w:t>el desarrollo</w:t>
          </w:r>
          <w:r w:rsidR="00472E3E">
            <w:rPr>
              <w:i/>
              <w:iCs/>
            </w:rPr>
            <w:t>/solución</w:t>
          </w:r>
          <w:r>
            <w:t>”</w:t>
          </w:r>
        </w:p>
      </w:tc>
      <w:tc>
        <w:tcPr>
          <w:tcW w:w="1640" w:type="dxa"/>
        </w:tcPr>
        <w:p w14:paraId="55179E6B" w14:textId="373B6F4F" w:rsidR="00287FB3" w:rsidRDefault="00287FB3" w:rsidP="00287FB3">
          <w:r>
            <w:t>Versión 1</w:t>
          </w:r>
        </w:p>
      </w:tc>
      <w:tc>
        <w:tcPr>
          <w:tcW w:w="1303" w:type="dxa"/>
          <w:vMerge/>
        </w:tcPr>
        <w:p w14:paraId="06255334" w14:textId="77777777" w:rsidR="00287FB3" w:rsidRDefault="00287FB3" w:rsidP="00287FB3"/>
      </w:tc>
    </w:tr>
  </w:tbl>
  <w:p w14:paraId="5EC1C4B4" w14:textId="77777777" w:rsidR="00287FB3" w:rsidRDefault="00287FB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41BA"/>
    <w:multiLevelType w:val="multilevel"/>
    <w:tmpl w:val="AEF6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206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B7D84"/>
    <w:multiLevelType w:val="multilevel"/>
    <w:tmpl w:val="07E6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7407C"/>
    <w:multiLevelType w:val="multilevel"/>
    <w:tmpl w:val="0E9C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41AF9"/>
    <w:multiLevelType w:val="multilevel"/>
    <w:tmpl w:val="100E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35353"/>
    <w:multiLevelType w:val="multilevel"/>
    <w:tmpl w:val="A31A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43753"/>
    <w:multiLevelType w:val="multilevel"/>
    <w:tmpl w:val="4712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206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9109CC"/>
    <w:multiLevelType w:val="multilevel"/>
    <w:tmpl w:val="2EE6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2221AA"/>
    <w:multiLevelType w:val="multilevel"/>
    <w:tmpl w:val="370C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206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BF0CD4"/>
    <w:multiLevelType w:val="multilevel"/>
    <w:tmpl w:val="20DE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206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684DE1"/>
    <w:multiLevelType w:val="multilevel"/>
    <w:tmpl w:val="DB30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206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D31866"/>
    <w:multiLevelType w:val="multilevel"/>
    <w:tmpl w:val="68E8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DB426A"/>
    <w:multiLevelType w:val="multilevel"/>
    <w:tmpl w:val="0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16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A3772DA"/>
    <w:multiLevelType w:val="multilevel"/>
    <w:tmpl w:val="A5FC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45067C"/>
    <w:multiLevelType w:val="multilevel"/>
    <w:tmpl w:val="CCB0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F02913"/>
    <w:multiLevelType w:val="multilevel"/>
    <w:tmpl w:val="D630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172CDE"/>
    <w:multiLevelType w:val="multilevel"/>
    <w:tmpl w:val="1BA4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206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EB2021"/>
    <w:multiLevelType w:val="multilevel"/>
    <w:tmpl w:val="96B6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206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C94854"/>
    <w:multiLevelType w:val="multilevel"/>
    <w:tmpl w:val="92EE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206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1775731">
    <w:abstractNumId w:val="6"/>
  </w:num>
  <w:num w:numId="2" w16cid:durableId="795027012">
    <w:abstractNumId w:val="1"/>
  </w:num>
  <w:num w:numId="3" w16cid:durableId="1081487010">
    <w:abstractNumId w:val="3"/>
  </w:num>
  <w:num w:numId="4" w16cid:durableId="856893209">
    <w:abstractNumId w:val="11"/>
  </w:num>
  <w:num w:numId="5" w16cid:durableId="1301380507">
    <w:abstractNumId w:val="13"/>
  </w:num>
  <w:num w:numId="6" w16cid:durableId="1186015779">
    <w:abstractNumId w:val="10"/>
  </w:num>
  <w:num w:numId="7" w16cid:durableId="1534223189">
    <w:abstractNumId w:val="2"/>
  </w:num>
  <w:num w:numId="8" w16cid:durableId="1710180233">
    <w:abstractNumId w:val="12"/>
  </w:num>
  <w:num w:numId="9" w16cid:durableId="961574950">
    <w:abstractNumId w:val="15"/>
  </w:num>
  <w:num w:numId="10" w16cid:durableId="1454791041">
    <w:abstractNumId w:val="5"/>
  </w:num>
  <w:num w:numId="11" w16cid:durableId="781074366">
    <w:abstractNumId w:val="9"/>
  </w:num>
  <w:num w:numId="12" w16cid:durableId="487790981">
    <w:abstractNumId w:val="14"/>
  </w:num>
  <w:num w:numId="13" w16cid:durableId="1828478327">
    <w:abstractNumId w:val="0"/>
  </w:num>
  <w:num w:numId="14" w16cid:durableId="95559053">
    <w:abstractNumId w:val="17"/>
  </w:num>
  <w:num w:numId="15" w16cid:durableId="902640330">
    <w:abstractNumId w:val="16"/>
  </w:num>
  <w:num w:numId="16" w16cid:durableId="1644238744">
    <w:abstractNumId w:val="7"/>
  </w:num>
  <w:num w:numId="17" w16cid:durableId="42558251">
    <w:abstractNumId w:val="8"/>
  </w:num>
  <w:num w:numId="18" w16cid:durableId="7410241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3"/>
    <w:rsid w:val="00031E32"/>
    <w:rsid w:val="00287FB3"/>
    <w:rsid w:val="00295FC1"/>
    <w:rsid w:val="002C0D21"/>
    <w:rsid w:val="00472E3E"/>
    <w:rsid w:val="00555B7E"/>
    <w:rsid w:val="006B1836"/>
    <w:rsid w:val="00890919"/>
    <w:rsid w:val="00933FC2"/>
    <w:rsid w:val="009C4530"/>
    <w:rsid w:val="00A277BC"/>
    <w:rsid w:val="00AC27E2"/>
    <w:rsid w:val="00BC3720"/>
    <w:rsid w:val="00BF11FB"/>
    <w:rsid w:val="00C93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A2C080"/>
  <w15:chartTrackingRefBased/>
  <w15:docId w15:val="{8C2FE037-1C15-4876-ACE6-4995526BC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5FC1"/>
  </w:style>
  <w:style w:type="paragraph" w:styleId="Ttulo1">
    <w:name w:val="heading 1"/>
    <w:basedOn w:val="Normal"/>
    <w:next w:val="Normal"/>
    <w:link w:val="Ttulo1Car"/>
    <w:uiPriority w:val="9"/>
    <w:qFormat/>
    <w:rsid w:val="00287F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7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7F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7F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7F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7F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7F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7F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7F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7F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7F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7F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7F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7FB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7F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7F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7F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7F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7F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7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7F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7F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7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7F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7F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7FB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7F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7FB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7FB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87F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87FB3"/>
  </w:style>
  <w:style w:type="paragraph" w:styleId="Piedepgina">
    <w:name w:val="footer"/>
    <w:basedOn w:val="Normal"/>
    <w:link w:val="PiedepginaCar"/>
    <w:uiPriority w:val="99"/>
    <w:unhideWhenUsed/>
    <w:rsid w:val="00287F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87FB3"/>
  </w:style>
  <w:style w:type="table" w:styleId="Tablaconcuadrcula">
    <w:name w:val="Table Grid"/>
    <w:basedOn w:val="Tablanormal"/>
    <w:uiPriority w:val="39"/>
    <w:rsid w:val="00287FB3"/>
    <w:pPr>
      <w:spacing w:after="0" w:line="240" w:lineRule="auto"/>
    </w:pPr>
    <w:rPr>
      <w:kern w:val="0"/>
      <w:lang w:val="es-ES_tradn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2C0D21"/>
    <w:rPr>
      <w:color w:val="467886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2C0D21"/>
    <w:pPr>
      <w:spacing w:after="100" w:line="240" w:lineRule="auto"/>
    </w:pPr>
    <w:rPr>
      <w:kern w:val="0"/>
      <w:lang w:val="es-ES_tradnl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933FC2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3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37cf70c-1091-499f-b577-72ba042c00d1}" enabled="1" method="Standard" siteId="{c980e410-0b5c-48bc-bd1a-8b91cabc84bc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4</Pages>
  <Words>658</Words>
  <Characters>3625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HI_E MARIA ALEJANDRA RUA MONSALVE</dc:creator>
  <cp:keywords/>
  <dc:description/>
  <cp:lastModifiedBy>HI_E MARIA ALEJANDRA RUA MONSALVE</cp:lastModifiedBy>
  <cp:revision>3</cp:revision>
  <dcterms:created xsi:type="dcterms:W3CDTF">2026-06-11T14:42:00Z</dcterms:created>
  <dcterms:modified xsi:type="dcterms:W3CDTF">2026-06-11T16:31:00Z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b8928a2,a09fd7c,568a0bcb</vt:lpwstr>
  </property>
  <property fmtid="{D5CDD505-2E9C-101B-9397-08002B2CF9AE}" pid="3" name="ClassificationContentMarkingFooterFontProps">
    <vt:lpwstr>#000000,14,Aptos</vt:lpwstr>
  </property>
  <property fmtid="{D5CDD505-2E9C-101B-9397-08002B2CF9AE}" pid="4" name="ClassificationContentMarkingFooterText">
    <vt:lpwstr>Información Interna</vt:lpwstr>
  </property>
</Properties>
</file>