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8447FF"/>
          <w:sz w:val="44"/>
        </w:rPr>
        <w:t>⚡ INFORME TÉCNICO DE PROYECTO: METROPOLIS AI</w:t>
      </w:r>
    </w:p>
    <w:p>
      <w:pPr>
        <w:spacing w:after="480"/>
      </w:pPr>
      <w:r>
        <w:rPr>
          <w:i/>
          <w:sz w:val="20"/>
        </w:rPr>
        <w:t>Track: Trust, Identity &amp; AI Infrastructure (Monad Metropolis Hackathon)</w:t>
        <w:br/>
        <w:t>Arquitectura: Capa de Reputación Descentralizada (Patrón ERC-8004)</w:t>
        <w:br/>
        <w:t>Fecha: Octubre, 2026</w:t>
      </w:r>
    </w:p>
    <w:p>
      <w:pPr>
        <w:keepNext/>
        <w:spacing w:before="360" w:after="120"/>
      </w:pPr>
      <w:r>
        <w:rPr>
          <w:b/>
          <w:color w:val="8447FF"/>
          <w:sz w:val="28"/>
        </w:rPr>
        <w:t>1. RESUMEN EJECUTIVO</w:t>
      </w:r>
    </w:p>
    <w:p>
      <w:r>
        <w:t>Metropolis AI es una infraestructura descentralizada diseñada para resolver el problema de la confianza y la rendición de cuentas (accountability) en entornos donde operan agentes autónomos de Inteligencia Artificial dentro de la Web3. Mediante la implementación del estándar ERC-8004, la plataforma permite a los bots financieros construir una identidad criptográfica única y un historial de reputación inmutable en la blockchain de alto rendimiento de Monad. Esto mitiga el riesgo de fraude, suplantación de identidad y fallas algorítmicas imprevistas en los protocolos DeFi.</w:t>
      </w:r>
    </w:p>
    <w:p>
      <w:pPr>
        <w:keepNext/>
        <w:spacing w:before="360" w:after="120"/>
      </w:pPr>
      <w:r>
        <w:rPr>
          <w:b/>
          <w:color w:val="8447FF"/>
          <w:sz w:val="28"/>
        </w:rPr>
        <w:t>2. EL PROBLEMA DEL MUNDO REAL</w:t>
      </w:r>
    </w:p>
    <w:p>
      <w:r>
        <w:t>El auge de las finanzas descentralizadas ha impulsado la creación de agentes de IA capaces de gestionar capital, realizar arbitraje de liquidez y auditar contratos de forma autónoma. Sin embargo, el ecosistema padece vulnerabilidades críticas:</w:t>
      </w:r>
    </w:p>
    <w:p>
      <w:pPr>
        <w:pStyle w:val="ListBullet"/>
      </w:pPr>
      <w:r>
        <w:rPr>
          <w:b/>
        </w:rPr>
        <w:t xml:space="preserve">Anonimato y opacidad: </w:t>
      </w:r>
      <w:r>
        <w:t>No existe un método estándar para verificar quién programó un bot o si su código base fue alterado maliciosamente.</w:t>
      </w:r>
    </w:p>
    <w:p>
      <w:pPr>
        <w:pStyle w:val="ListBullet"/>
      </w:pPr>
      <w:r>
        <w:rPr>
          <w:b/>
        </w:rPr>
        <w:t xml:space="preserve">Falta de incentivos de comportamiento: </w:t>
      </w:r>
      <w:r>
        <w:t>Si un bot genera pérdidas debido a un bug o comete una estafa (rug pull), el desarrollador puede borrarlo y desplegar uno nuevo sin consecuencias.</w:t>
      </w:r>
    </w:p>
    <w:p>
      <w:pPr>
        <w:pStyle w:val="ListBullet"/>
      </w:pPr>
      <w:r>
        <w:rPr>
          <w:b/>
        </w:rPr>
        <w:t xml:space="preserve">Saturación de Red: </w:t>
      </w:r>
      <w:r>
        <w:t>Validar y registrar miles de operaciones por segundo de millones de agentes globales colapsaría cualquier blockchain tradicional debido a la ejecución secuencial y costos de gas.</w:t>
      </w:r>
    </w:p>
    <w:p>
      <w:pPr>
        <w:keepNext/>
        <w:spacing w:before="360" w:after="120"/>
      </w:pPr>
      <w:r>
        <w:rPr>
          <w:b/>
          <w:color w:val="8447FF"/>
          <w:sz w:val="28"/>
        </w:rPr>
        <w:t>3. LA SOLUCIÓN PROPUESTA</w:t>
      </w:r>
    </w:p>
    <w:p>
      <w:r>
        <w:t>El proyecto establece un Oracle de Reputación Descentralizado que opera como un "Buró de Crédito" para la IA en tres fases:</w:t>
      </w:r>
    </w:p>
    <w:p>
      <w:r>
        <w:t xml:space="preserve">1.  </w:t>
      </w:r>
      <w:r>
        <w:rPr>
          <w:b/>
        </w:rPr>
        <w:t xml:space="preserve">Registro de Identidad Soberana: </w:t>
      </w:r>
      <w:r>
        <w:t>Cada agente genera su propio par de llaves criptográficas. Al registrarse on-chain, se le asigna un identificador único (AgentID) anclado a su creador.</w:t>
      </w:r>
    </w:p>
    <w:p>
      <w:r>
        <w:t xml:space="preserve">2.  </w:t>
      </w:r>
      <w:r>
        <w:rPr>
          <w:b/>
        </w:rPr>
        <w:t xml:space="preserve">Auditoría del Rendimiento: </w:t>
      </w:r>
      <w:r>
        <w:t>Las interacciones del bot en el mercado son públicas. Los contratos DeFi y los usuarios envían votos de confianza (éxito) o reportes de fallas a la red.</w:t>
      </w:r>
    </w:p>
    <w:p>
      <w:r>
        <w:t xml:space="preserve">3.  </w:t>
      </w:r>
      <w:r>
        <w:rPr>
          <w:b/>
        </w:rPr>
        <w:t xml:space="preserve">Métrica de Confianza Matemática: </w:t>
      </w:r>
      <w:r>
        <w:t>La blockchain procesa el volumen de interacciones mediante una función de lectura que calcula un Score de Confianza del 0% al 100% en tiempo real.</w:t>
      </w:r>
    </w:p>
    <w:p>
      <w:pPr>
        <w:keepNext/>
        <w:spacing w:before="360" w:after="120"/>
      </w:pPr>
      <w:r>
        <w:rPr>
          <w:b/>
          <w:color w:val="8447FF"/>
          <w:sz w:val="28"/>
        </w:rPr>
        <w:t>4. ARQUITECTURA TECNOLÓGICA (STACK UNIFICADO)</w:t>
      </w:r>
    </w:p>
    <w:p>
      <w:r>
        <w:t>Para optimizar los tiempos de desarrollo del hackathon y garantizar la modularidad del código, se diseñó un stack desacoplado basado en Python y Solidity:</w:t>
      </w:r>
    </w:p>
    <w:p>
      <w:pPr>
        <w:pStyle w:val="ListBullet"/>
      </w:pPr>
      <w:r>
        <w:rPr>
          <w:b/>
        </w:rPr>
        <w:t xml:space="preserve">Capa On-Chain (Blockchain): </w:t>
      </w:r>
      <w:r>
        <w:t>Contrato inteligente desarrollado desde cero en Solidity. Utiliza mapeos directos de alta velocidad para optimizar el almacenamiento de identidades.</w:t>
      </w:r>
    </w:p>
    <w:p>
      <w:pPr>
        <w:pStyle w:val="ListBullet"/>
      </w:pPr>
      <w:r>
        <w:rPr>
          <w:b/>
        </w:rPr>
        <w:t xml:space="preserve">Capa del Puente (Middleware): </w:t>
      </w:r>
      <w:r>
        <w:t>Archivo blockchain_bridge.py impulsado por la librería web3.py, actuando como una API descentralizada para transacciones hacia Monad.</w:t>
      </w:r>
    </w:p>
    <w:p>
      <w:pPr>
        <w:pStyle w:val="ListBullet"/>
      </w:pPr>
      <w:r>
        <w:rPr>
          <w:b/>
        </w:rPr>
        <w:t xml:space="preserve">Capa Front-End (Interfaz): </w:t>
      </w:r>
      <w:r>
        <w:t>Dashboard dinámico desarrollado en Streamlit con diseño modular de pantalla dividida, analíticas integradas y visualizaciones en vivo.</w:t>
      </w:r>
    </w:p>
    <w:p>
      <w:pPr>
        <w:keepNext/>
        <w:spacing w:before="360" w:after="120"/>
      </w:pPr>
      <w:r>
        <w:rPr>
          <w:b/>
          <w:color w:val="8447FF"/>
          <w:sz w:val="28"/>
        </w:rPr>
        <w:t>5. ALINEACIÓN CON LAS VENTAJAS TÉCNICAS DE MONAD</w:t>
      </w:r>
    </w:p>
    <w:p>
      <w:r>
        <w:t>Un registro global de reputación para millones de agentes inteligentes que realizan transacciones simultáneas requiere una infraestructura capaz de soportar alta demanda. Metropolis AI justifica su despliegue en Monad debido a:</w:t>
      </w:r>
    </w:p>
    <w:p>
      <w:pPr>
        <w:pStyle w:val="ListBullet"/>
      </w:pPr>
      <w:r>
        <w:rPr>
          <w:b/>
        </w:rPr>
        <w:t xml:space="preserve">Ejecución Paralela: </w:t>
      </w:r>
      <w:r>
        <w:t>Permite que miles de usuarios califiquen a diferentes bots simultáneamente sin generar cuellos de botella en la red.</w:t>
      </w:r>
    </w:p>
    <w:p>
      <w:pPr>
        <w:pStyle w:val="ListBullet"/>
      </w:pPr>
      <w:r>
        <w:rPr>
          <w:b/>
        </w:rPr>
        <w:t xml:space="preserve">Compatibilidad EVM Nativa: </w:t>
      </w:r>
      <w:r>
        <w:t>Permite migrar el estándar ERC-8004 de forma limpia y directa sin necesidad de reescribir contratos.</w:t>
      </w:r>
    </w:p>
    <w:p>
      <w:pPr>
        <w:pStyle w:val="ListBullet"/>
      </w:pPr>
      <w:r>
        <w:rPr>
          <w:b/>
        </w:rPr>
        <w:t xml:space="preserve">Comisiones Ultra Bajas: </w:t>
      </w:r>
      <w:r>
        <w:t>Hace viable que reportar una pequeña falla o validar una tarea diaria cueste fracciones de centavo, habilitando la micro-auditoría constante.</w:t>
      </w:r>
    </w:p>
    <w:p>
      <w:pPr>
        <w:keepNext/>
        <w:spacing w:before="360" w:after="120"/>
      </w:pPr>
      <w:r>
        <w:rPr>
          <w:b/>
          <w:color w:val="8447FF"/>
          <w:sz w:val="28"/>
        </w:rPr>
        <w:t>6. CONCLUSIÓN Y PRÓXIMOS PASOS</w:t>
      </w:r>
    </w:p>
    <w:p>
      <w:r>
        <w:t>El prototipo funcional (MVP) demuestra con éxito la viabilidad de una capa de confianza para la Inteligencia Artificial en Web3. La interfaz permite flujos interactivos limpios y reactivos. El plan de trabajo concluye con la fase de inyección de código criptográfico real en el archivo puente por parte del Integrante A, dejando el ecosistema listo para su empaquetado, despliegue en Testnet y grabación de la presentación oficial ante el jurado.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