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D094" w14:textId="350B55B1" w:rsidR="00F551CD" w:rsidRPr="00696386" w:rsidRDefault="00F551CD" w:rsidP="00696386">
      <w:pPr>
        <w:bidi/>
        <w:spacing w:before="100" w:beforeAutospacing="1" w:after="100" w:afterAutospacing="1" w:line="240" w:lineRule="auto"/>
        <w:jc w:val="center"/>
        <w:outlineLvl w:val="0"/>
        <w:rPr>
          <w:rFonts w:ascii="Calibri" w:eastAsia="Times New Roman" w:hAnsi="Calibri" w:cs="Calibri"/>
          <w:b/>
          <w:bCs/>
          <w:kern w:val="36"/>
          <w:sz w:val="40"/>
          <w:szCs w:val="40"/>
          <w:lang w:eastAsia="en-GB"/>
          <w14:ligatures w14:val="none"/>
        </w:rPr>
      </w:pPr>
      <w:r w:rsidRPr="00696386">
        <w:rPr>
          <w:rFonts w:ascii="Calibri" w:eastAsia="Times New Roman" w:hAnsi="Calibri" w:cs="Calibri"/>
          <w:b/>
          <w:bCs/>
          <w:kern w:val="36"/>
          <w:sz w:val="40"/>
          <w:szCs w:val="40"/>
          <w:highlight w:val="yellow"/>
          <w:rtl/>
          <w:lang w:eastAsia="en-GB"/>
          <w14:ligatures w14:val="none"/>
        </w:rPr>
        <w:t>مواقع الصخور والمعادن الاقتصادية</w:t>
      </w:r>
    </w:p>
    <w:p w14:paraId="7FD71A2B" w14:textId="77777777" w:rsidR="00D22FAD" w:rsidRDefault="00D22FAD" w:rsidP="00D22FAD">
      <w:pPr>
        <w:bidi/>
        <w:spacing w:before="100" w:beforeAutospacing="1" w:after="100" w:afterAutospacing="1" w:line="276" w:lineRule="auto"/>
        <w:rPr>
          <w:rFonts w:ascii="Calibri" w:eastAsia="Times New Roman" w:hAnsi="Calibri" w:cs="Calibri"/>
          <w:kern w:val="0"/>
          <w:sz w:val="28"/>
          <w:szCs w:val="28"/>
          <w:rtl/>
          <w:lang w:eastAsia="en-GB"/>
          <w14:ligatures w14:val="none"/>
        </w:rPr>
      </w:pPr>
    </w:p>
    <w:p w14:paraId="6A2B7D3A" w14:textId="44EAD416"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تتميز المملكة بتنوع جيولوجي ومعدني كبير، وتنتشر مواقع ومكامن ومؤشرات الثروات المعدنية في مناطق واسعة من المملكة. وقد جرى في </w:t>
      </w:r>
      <w:r w:rsidRPr="00F551CD">
        <w:rPr>
          <w:rFonts w:ascii="Calibri" w:eastAsia="Times New Roman" w:hAnsi="Calibri" w:cs="Calibri" w:hint="cs"/>
          <w:b/>
          <w:bCs/>
          <w:kern w:val="0"/>
          <w:sz w:val="28"/>
          <w:szCs w:val="28"/>
          <w:rtl/>
          <w:lang w:eastAsia="en-GB"/>
          <w14:ligatures w14:val="none"/>
        </w:rPr>
        <w:t>ال</w:t>
      </w:r>
      <w:r w:rsidRPr="00F551CD">
        <w:rPr>
          <w:rFonts w:ascii="Calibri" w:eastAsia="Times New Roman" w:hAnsi="Calibri" w:cs="Calibri"/>
          <w:b/>
          <w:bCs/>
          <w:kern w:val="0"/>
          <w:sz w:val="28"/>
          <w:szCs w:val="28"/>
          <w:rtl/>
          <w:lang w:eastAsia="en-GB"/>
          <w14:ligatures w14:val="none"/>
        </w:rPr>
        <w:t xml:space="preserve">منصة التفاعلية </w:t>
      </w:r>
      <w:r w:rsidR="00D22FAD">
        <w:rPr>
          <w:rFonts w:ascii="Calibri" w:eastAsia="Times New Roman" w:hAnsi="Calibri" w:cs="Calibri" w:hint="cs"/>
          <w:b/>
          <w:bCs/>
          <w:kern w:val="0"/>
          <w:sz w:val="28"/>
          <w:szCs w:val="28"/>
          <w:rtl/>
          <w:lang w:eastAsia="en-GB"/>
          <w14:ligatures w14:val="none"/>
        </w:rPr>
        <w:t>لعلوم ا</w:t>
      </w:r>
      <w:r w:rsidRPr="00F551CD">
        <w:rPr>
          <w:rFonts w:ascii="Calibri" w:eastAsia="Times New Roman" w:hAnsi="Calibri" w:cs="Calibri"/>
          <w:b/>
          <w:bCs/>
          <w:kern w:val="0"/>
          <w:sz w:val="28"/>
          <w:szCs w:val="28"/>
          <w:rtl/>
          <w:lang w:eastAsia="en-GB"/>
          <w14:ligatures w14:val="none"/>
        </w:rPr>
        <w:t>لأرض والطبيعة</w:t>
      </w:r>
      <w:r w:rsidRPr="00F551CD">
        <w:rPr>
          <w:rFonts w:ascii="Calibri" w:eastAsia="Times New Roman" w:hAnsi="Calibri" w:cs="Calibri"/>
          <w:kern w:val="0"/>
          <w:sz w:val="28"/>
          <w:szCs w:val="28"/>
          <w:rtl/>
          <w:lang w:eastAsia="en-GB"/>
          <w14:ligatures w14:val="none"/>
        </w:rPr>
        <w:t xml:space="preserve"> تجميع وتصنيف وتمثيل أكثر من </w:t>
      </w:r>
      <w:r w:rsidRPr="00F551CD">
        <w:rPr>
          <w:rFonts w:ascii="Calibri" w:eastAsia="Times New Roman" w:hAnsi="Calibri" w:cs="Calibri"/>
          <w:b/>
          <w:bCs/>
          <w:kern w:val="0"/>
          <w:sz w:val="28"/>
          <w:szCs w:val="28"/>
          <w:lang w:eastAsia="en-GB"/>
          <w14:ligatures w14:val="none"/>
        </w:rPr>
        <w:t xml:space="preserve">5,300 </w:t>
      </w:r>
      <w:r w:rsidRPr="00F551CD">
        <w:rPr>
          <w:rFonts w:ascii="Calibri" w:eastAsia="Times New Roman" w:hAnsi="Calibri" w:cs="Calibri"/>
          <w:b/>
          <w:bCs/>
          <w:kern w:val="0"/>
          <w:sz w:val="28"/>
          <w:szCs w:val="28"/>
          <w:rtl/>
          <w:lang w:eastAsia="en-GB"/>
          <w14:ligatures w14:val="none"/>
        </w:rPr>
        <w:t>موقع</w:t>
      </w:r>
      <w:r w:rsidRPr="00F551CD">
        <w:rPr>
          <w:rFonts w:ascii="Calibri" w:eastAsia="Times New Roman" w:hAnsi="Calibri" w:cs="Calibri"/>
          <w:kern w:val="0"/>
          <w:sz w:val="28"/>
          <w:szCs w:val="28"/>
          <w:rtl/>
          <w:lang w:eastAsia="en-GB"/>
          <w14:ligatures w14:val="none"/>
        </w:rPr>
        <w:t xml:space="preserve"> للثروات المعدنية والصخور الاقتصادية، وربطها بقاعدة بيانات مكانية وعرضها على الخرائط التفاعلية للمنصة</w:t>
      </w:r>
      <w:r w:rsidRPr="00F551CD">
        <w:rPr>
          <w:rFonts w:ascii="Calibri" w:eastAsia="Times New Roman" w:hAnsi="Calibri" w:cs="Calibri"/>
          <w:kern w:val="0"/>
          <w:sz w:val="28"/>
          <w:szCs w:val="28"/>
          <w:lang w:eastAsia="en-GB"/>
          <w14:ligatures w14:val="none"/>
        </w:rPr>
        <w:t>.</w:t>
      </w:r>
    </w:p>
    <w:p w14:paraId="21701481" w14:textId="77777777"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وتضم قاعدة البيانات </w:t>
      </w:r>
      <w:r w:rsidRPr="00F551CD">
        <w:rPr>
          <w:rFonts w:ascii="Calibri" w:eastAsia="Times New Roman" w:hAnsi="Calibri" w:cs="Calibri"/>
          <w:b/>
          <w:bCs/>
          <w:kern w:val="0"/>
          <w:sz w:val="28"/>
          <w:szCs w:val="28"/>
          <w:lang w:eastAsia="en-GB"/>
          <w14:ligatures w14:val="none"/>
        </w:rPr>
        <w:t xml:space="preserve">42 </w:t>
      </w:r>
      <w:r w:rsidRPr="00F551CD">
        <w:rPr>
          <w:rFonts w:ascii="Calibri" w:eastAsia="Times New Roman" w:hAnsi="Calibri" w:cs="Calibri"/>
          <w:b/>
          <w:bCs/>
          <w:kern w:val="0"/>
          <w:sz w:val="28"/>
          <w:szCs w:val="28"/>
          <w:rtl/>
          <w:lang w:eastAsia="en-GB"/>
          <w14:ligatures w14:val="none"/>
        </w:rPr>
        <w:t>معدنًا وصخرًا اقتصاديًا</w:t>
      </w:r>
      <w:r w:rsidRPr="00F551CD">
        <w:rPr>
          <w:rFonts w:ascii="Calibri" w:eastAsia="Times New Roman" w:hAnsi="Calibri" w:cs="Calibri"/>
          <w:kern w:val="0"/>
          <w:sz w:val="28"/>
          <w:szCs w:val="28"/>
          <w:rtl/>
          <w:lang w:eastAsia="en-GB"/>
          <w14:ligatures w14:val="none"/>
        </w:rPr>
        <w:t xml:space="preserve"> تم اختيارها وتصنيفها بعناية وفق أهميتها الجيولوجية والاقتصادية وتوافر المعلومات المكانية عنها. وتشمل المعادن الفلزية وغير الفلزية والصخور والخامات الصناعية ذات الأهمية الاقتصادية</w:t>
      </w:r>
      <w:r w:rsidRPr="00F551CD">
        <w:rPr>
          <w:rFonts w:ascii="Calibri" w:eastAsia="Times New Roman" w:hAnsi="Calibri" w:cs="Calibri"/>
          <w:kern w:val="0"/>
          <w:sz w:val="28"/>
          <w:szCs w:val="28"/>
          <w:lang w:eastAsia="en-GB"/>
          <w14:ligatures w14:val="none"/>
        </w:rPr>
        <w:t>.</w:t>
      </w:r>
    </w:p>
    <w:p w14:paraId="63CF6B0F" w14:textId="77777777"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وتوضح كثافة البيانات حجم التنوع المعدني في المملكة؛ فعلى سبيل المثال، تتضمن قاعدة البيانات نحو </w:t>
      </w:r>
      <w:r w:rsidRPr="00F551CD">
        <w:rPr>
          <w:rFonts w:ascii="Calibri" w:eastAsia="Times New Roman" w:hAnsi="Calibri" w:cs="Calibri"/>
          <w:b/>
          <w:bCs/>
          <w:kern w:val="0"/>
          <w:sz w:val="28"/>
          <w:szCs w:val="28"/>
          <w:lang w:eastAsia="en-GB"/>
          <w14:ligatures w14:val="none"/>
        </w:rPr>
        <w:t xml:space="preserve">800 </w:t>
      </w:r>
      <w:r w:rsidRPr="00F551CD">
        <w:rPr>
          <w:rFonts w:ascii="Calibri" w:eastAsia="Times New Roman" w:hAnsi="Calibri" w:cs="Calibri"/>
          <w:b/>
          <w:bCs/>
          <w:kern w:val="0"/>
          <w:sz w:val="28"/>
          <w:szCs w:val="28"/>
          <w:rtl/>
          <w:lang w:eastAsia="en-GB"/>
          <w14:ligatures w14:val="none"/>
        </w:rPr>
        <w:t>موقع ومكمن ومؤشر للنحاس، ونحو 700 للذهب، ونحو 400 للزنك</w:t>
      </w:r>
      <w:r w:rsidRPr="00F551CD">
        <w:rPr>
          <w:rFonts w:ascii="Calibri" w:eastAsia="Times New Roman" w:hAnsi="Calibri" w:cs="Calibri"/>
          <w:kern w:val="0"/>
          <w:sz w:val="28"/>
          <w:szCs w:val="28"/>
          <w:rtl/>
          <w:lang w:eastAsia="en-GB"/>
          <w14:ligatures w14:val="none"/>
        </w:rPr>
        <w:t>، إلى جانب آلاف المواقع المرتبطة بالمعادن والصخور الاقتصادية الأخرى</w:t>
      </w:r>
      <w:r w:rsidRPr="00F551CD">
        <w:rPr>
          <w:rFonts w:ascii="Calibri" w:eastAsia="Times New Roman" w:hAnsi="Calibri" w:cs="Calibri"/>
          <w:kern w:val="0"/>
          <w:sz w:val="28"/>
          <w:szCs w:val="28"/>
          <w:lang w:eastAsia="en-GB"/>
          <w14:ligatures w14:val="none"/>
        </w:rPr>
        <w:t>.</w:t>
      </w:r>
    </w:p>
    <w:p w14:paraId="274B0241" w14:textId="77777777"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ولا تعني الإشارة إلى هذه المواقع بالضرورة أن جميعها </w:t>
      </w:r>
      <w:r w:rsidRPr="00F551CD">
        <w:rPr>
          <w:rFonts w:ascii="Calibri" w:eastAsia="Times New Roman" w:hAnsi="Calibri" w:cs="Calibri"/>
          <w:b/>
          <w:bCs/>
          <w:kern w:val="0"/>
          <w:sz w:val="28"/>
          <w:szCs w:val="28"/>
          <w:rtl/>
          <w:lang w:eastAsia="en-GB"/>
          <w14:ligatures w14:val="none"/>
        </w:rPr>
        <w:t>احتياطيات معدنية مؤكدة أو مناجم قابلة للاستثمار اقتصاديًا</w:t>
      </w:r>
      <w:r w:rsidRPr="00F551CD">
        <w:rPr>
          <w:rFonts w:ascii="Calibri" w:eastAsia="Times New Roman" w:hAnsi="Calibri" w:cs="Calibri"/>
          <w:kern w:val="0"/>
          <w:sz w:val="28"/>
          <w:szCs w:val="28"/>
          <w:rtl/>
          <w:lang w:eastAsia="en-GB"/>
          <w14:ligatures w14:val="none"/>
        </w:rPr>
        <w:t xml:space="preserve">؛ إذ تختلف المواقع في طبيعتها ودرجة دراستها بين مكامن </w:t>
      </w:r>
      <w:proofErr w:type="spellStart"/>
      <w:r w:rsidRPr="00F551CD">
        <w:rPr>
          <w:rFonts w:ascii="Calibri" w:eastAsia="Times New Roman" w:hAnsi="Calibri" w:cs="Calibri"/>
          <w:kern w:val="0"/>
          <w:sz w:val="28"/>
          <w:szCs w:val="28"/>
          <w:rtl/>
          <w:lang w:eastAsia="en-GB"/>
          <w14:ligatures w14:val="none"/>
        </w:rPr>
        <w:t>وظهورات</w:t>
      </w:r>
      <w:proofErr w:type="spellEnd"/>
      <w:r w:rsidRPr="00F551CD">
        <w:rPr>
          <w:rFonts w:ascii="Calibri" w:eastAsia="Times New Roman" w:hAnsi="Calibri" w:cs="Calibri"/>
          <w:kern w:val="0"/>
          <w:sz w:val="28"/>
          <w:szCs w:val="28"/>
          <w:rtl/>
          <w:lang w:eastAsia="en-GB"/>
          <w14:ligatures w14:val="none"/>
        </w:rPr>
        <w:t xml:space="preserve"> ومؤشرات معدنية ومواقع استكشافية ومناجم أو خامات موثقة. كما أن تحديد الجدوى الاقتصادية لأي موقع يتطلب دراسات جيولوجية واستكشافية وفنية واقتصادية مستقلة</w:t>
      </w:r>
      <w:r w:rsidRPr="00F551CD">
        <w:rPr>
          <w:rFonts w:ascii="Calibri" w:eastAsia="Times New Roman" w:hAnsi="Calibri" w:cs="Calibri"/>
          <w:kern w:val="0"/>
          <w:sz w:val="28"/>
          <w:szCs w:val="28"/>
          <w:lang w:eastAsia="en-GB"/>
          <w14:ligatures w14:val="none"/>
        </w:rPr>
        <w:t>.</w:t>
      </w:r>
    </w:p>
    <w:p w14:paraId="67153309" w14:textId="77777777" w:rsidR="00D22FAD" w:rsidRDefault="00D22FAD" w:rsidP="00D22FAD">
      <w:pPr>
        <w:bidi/>
        <w:spacing w:before="100" w:beforeAutospacing="1" w:after="100" w:afterAutospacing="1" w:line="276" w:lineRule="auto"/>
        <w:outlineLvl w:val="1"/>
        <w:rPr>
          <w:rFonts w:ascii="Calibri" w:eastAsia="Times New Roman" w:hAnsi="Calibri" w:cs="Calibri"/>
          <w:b/>
          <w:bCs/>
          <w:color w:val="0070C0"/>
          <w:kern w:val="0"/>
          <w:sz w:val="28"/>
          <w:szCs w:val="28"/>
          <w:rtl/>
          <w:lang w:eastAsia="en-GB"/>
          <w14:ligatures w14:val="none"/>
        </w:rPr>
      </w:pPr>
    </w:p>
    <w:p w14:paraId="03A24F5C" w14:textId="7A13DD14" w:rsidR="00F551CD" w:rsidRPr="00F551CD" w:rsidRDefault="00F551CD" w:rsidP="00D22FAD">
      <w:pPr>
        <w:bidi/>
        <w:spacing w:before="100" w:beforeAutospacing="1" w:after="100" w:afterAutospacing="1" w:line="276" w:lineRule="auto"/>
        <w:outlineLvl w:val="1"/>
        <w:rPr>
          <w:rFonts w:ascii="Calibri" w:eastAsia="Times New Roman" w:hAnsi="Calibri" w:cs="Calibri"/>
          <w:b/>
          <w:bCs/>
          <w:color w:val="0070C0"/>
          <w:kern w:val="0"/>
          <w:sz w:val="28"/>
          <w:szCs w:val="28"/>
          <w:lang w:eastAsia="en-GB"/>
          <w14:ligatures w14:val="none"/>
        </w:rPr>
      </w:pPr>
      <w:r w:rsidRPr="00F551CD">
        <w:rPr>
          <w:rFonts w:ascii="Calibri" w:eastAsia="Times New Roman" w:hAnsi="Calibri" w:cs="Calibri"/>
          <w:b/>
          <w:bCs/>
          <w:color w:val="0070C0"/>
          <w:kern w:val="0"/>
          <w:sz w:val="28"/>
          <w:szCs w:val="28"/>
          <w:rtl/>
          <w:lang w:eastAsia="en-GB"/>
          <w14:ligatures w14:val="none"/>
        </w:rPr>
        <w:t>سياسة عرض الإحداثيات والبيانات المكانية</w:t>
      </w:r>
    </w:p>
    <w:p w14:paraId="6E3EAD30" w14:textId="7F2C72FC"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حرصًا على </w:t>
      </w:r>
      <w:r w:rsidRPr="00F551CD">
        <w:rPr>
          <w:rFonts w:ascii="Calibri" w:eastAsia="Times New Roman" w:hAnsi="Calibri" w:cs="Calibri"/>
          <w:b/>
          <w:bCs/>
          <w:kern w:val="0"/>
          <w:sz w:val="28"/>
          <w:szCs w:val="28"/>
          <w:rtl/>
          <w:lang w:eastAsia="en-GB"/>
          <w14:ligatures w14:val="none"/>
        </w:rPr>
        <w:t>الاستخدام المسؤول للمعلومات الجيولوجية والمكانية، واحترام مصادر البيانات وحقوق الجهات والأطراف ذات العلاقة، وعدم استخدام المعلومات خارج سياقها العلمي أو الاستثماري الصحيح</w:t>
      </w:r>
      <w:r w:rsidRPr="00F551CD">
        <w:rPr>
          <w:rFonts w:ascii="Calibri" w:eastAsia="Times New Roman" w:hAnsi="Calibri" w:cs="Calibri"/>
          <w:kern w:val="0"/>
          <w:sz w:val="28"/>
          <w:szCs w:val="28"/>
          <w:rtl/>
          <w:lang w:eastAsia="en-GB"/>
          <w14:ligatures w14:val="none"/>
        </w:rPr>
        <w:t>، تعرض المنصة التوزيع الجغرافي والمعلومات العامة للصخور والمعادن الاقتصادية، بينما لا تُتاح الإحداثيات التفصيلية لبعض المواقع المعدنية بصورة مباشرة ومفتوحة للجميع</w:t>
      </w:r>
      <w:r w:rsidRPr="00F551CD">
        <w:rPr>
          <w:rFonts w:ascii="Calibri" w:eastAsia="Times New Roman" w:hAnsi="Calibri" w:cs="Calibri"/>
          <w:kern w:val="0"/>
          <w:sz w:val="28"/>
          <w:szCs w:val="28"/>
          <w:lang w:eastAsia="en-GB"/>
          <w14:ligatures w14:val="none"/>
        </w:rPr>
        <w:t>.</w:t>
      </w:r>
      <w:r>
        <w:rPr>
          <w:rFonts w:ascii="Calibri" w:eastAsia="Times New Roman" w:hAnsi="Calibri" w:cs="Calibri" w:hint="cs"/>
          <w:kern w:val="0"/>
          <w:sz w:val="28"/>
          <w:szCs w:val="28"/>
          <w:rtl/>
          <w:lang w:eastAsia="en-GB"/>
          <w14:ligatures w14:val="none"/>
        </w:rPr>
        <w:t xml:space="preserve"> </w:t>
      </w:r>
      <w:r w:rsidRPr="00F551CD">
        <w:rPr>
          <w:rFonts w:ascii="Calibri" w:eastAsia="Times New Roman" w:hAnsi="Calibri" w:cs="Calibri"/>
          <w:kern w:val="0"/>
          <w:sz w:val="28"/>
          <w:szCs w:val="28"/>
          <w:rtl/>
          <w:lang w:eastAsia="en-GB"/>
          <w14:ligatures w14:val="none"/>
        </w:rPr>
        <w:t>ويرجع ذلك إلى أن قاعدة البيانات جُمعت وطُورت بالاستفادة من مصادر وبيانات متعددة، وبعض المعلومات المكانية قد تكون مرتبطة بجهات أخرى أو خاضعة لشروط استخدام أو مشاركة، كما أن بعض المواقع تحتاج إلى التحقق من دقتها وتصنيفها قبل استخدامها لأغراض بحثية أو استثمارية</w:t>
      </w:r>
      <w:r w:rsidRPr="00F551CD">
        <w:rPr>
          <w:rFonts w:ascii="Calibri" w:eastAsia="Times New Roman" w:hAnsi="Calibri" w:cs="Calibri"/>
          <w:kern w:val="0"/>
          <w:sz w:val="28"/>
          <w:szCs w:val="28"/>
          <w:lang w:eastAsia="en-GB"/>
          <w14:ligatures w14:val="none"/>
        </w:rPr>
        <w:t>.</w:t>
      </w:r>
      <w:r>
        <w:rPr>
          <w:rFonts w:ascii="Calibri" w:eastAsia="Times New Roman" w:hAnsi="Calibri" w:cs="Calibri" w:hint="cs"/>
          <w:kern w:val="0"/>
          <w:sz w:val="28"/>
          <w:szCs w:val="28"/>
          <w:rtl/>
          <w:lang w:eastAsia="en-GB"/>
          <w14:ligatures w14:val="none"/>
        </w:rPr>
        <w:t xml:space="preserve"> </w:t>
      </w:r>
      <w:r w:rsidRPr="00F551CD">
        <w:rPr>
          <w:rFonts w:ascii="Calibri" w:eastAsia="Times New Roman" w:hAnsi="Calibri" w:cs="Calibri"/>
          <w:kern w:val="0"/>
          <w:sz w:val="28"/>
          <w:szCs w:val="28"/>
          <w:rtl/>
          <w:lang w:eastAsia="en-GB"/>
          <w14:ligatures w14:val="none"/>
        </w:rPr>
        <w:t xml:space="preserve">ويهدف هذا الإجراء إلى تحقيق التوازن بين </w:t>
      </w:r>
      <w:r w:rsidRPr="00F551CD">
        <w:rPr>
          <w:rFonts w:ascii="Calibri" w:eastAsia="Times New Roman" w:hAnsi="Calibri" w:cs="Calibri"/>
          <w:b/>
          <w:bCs/>
          <w:kern w:val="0"/>
          <w:sz w:val="28"/>
          <w:szCs w:val="28"/>
          <w:rtl/>
          <w:lang w:eastAsia="en-GB"/>
          <w14:ligatures w14:val="none"/>
        </w:rPr>
        <w:t>إتاحة المعرفة الجيولوجية للجمهور والباحثين والمستثمرين</w:t>
      </w:r>
      <w:r w:rsidRPr="00F551CD">
        <w:rPr>
          <w:rFonts w:ascii="Calibri" w:eastAsia="Times New Roman" w:hAnsi="Calibri" w:cs="Calibri"/>
          <w:kern w:val="0"/>
          <w:sz w:val="28"/>
          <w:szCs w:val="28"/>
          <w:rtl/>
          <w:lang w:eastAsia="en-GB"/>
          <w14:ligatures w14:val="none"/>
        </w:rPr>
        <w:t xml:space="preserve"> من جهة، والمحافظة على سلامة استخدام البيانات واحترام الحقوق والضوابط المرتبطة بمصادرها من جهة أخرى</w:t>
      </w:r>
      <w:r w:rsidRPr="00F551CD">
        <w:rPr>
          <w:rFonts w:ascii="Calibri" w:eastAsia="Times New Roman" w:hAnsi="Calibri" w:cs="Calibri"/>
          <w:kern w:val="0"/>
          <w:sz w:val="28"/>
          <w:szCs w:val="28"/>
          <w:lang w:eastAsia="en-GB"/>
          <w14:ligatures w14:val="none"/>
        </w:rPr>
        <w:t>.</w:t>
      </w:r>
    </w:p>
    <w:p w14:paraId="7586EC11" w14:textId="77777777" w:rsidR="00F551CD" w:rsidRPr="00F551CD" w:rsidRDefault="00F551CD" w:rsidP="00D22FAD">
      <w:pPr>
        <w:bidi/>
        <w:spacing w:before="100" w:beforeAutospacing="1" w:after="100" w:afterAutospacing="1" w:line="276" w:lineRule="auto"/>
        <w:outlineLvl w:val="1"/>
        <w:rPr>
          <w:rFonts w:ascii="Calibri" w:eastAsia="Times New Roman" w:hAnsi="Calibri" w:cs="Calibri"/>
          <w:b/>
          <w:bCs/>
          <w:color w:val="0070C0"/>
          <w:kern w:val="0"/>
          <w:sz w:val="28"/>
          <w:szCs w:val="28"/>
          <w:lang w:eastAsia="en-GB"/>
          <w14:ligatures w14:val="none"/>
        </w:rPr>
      </w:pPr>
      <w:r w:rsidRPr="00F551CD">
        <w:rPr>
          <w:rFonts w:ascii="Calibri" w:eastAsia="Times New Roman" w:hAnsi="Calibri" w:cs="Calibri"/>
          <w:b/>
          <w:bCs/>
          <w:color w:val="0070C0"/>
          <w:kern w:val="0"/>
          <w:sz w:val="28"/>
          <w:szCs w:val="28"/>
          <w:rtl/>
          <w:lang w:eastAsia="en-GB"/>
          <w14:ligatures w14:val="none"/>
        </w:rPr>
        <w:lastRenderedPageBreak/>
        <w:t>للباحثين والمستثمرين</w:t>
      </w:r>
    </w:p>
    <w:p w14:paraId="3604FF5D" w14:textId="0D682EDB"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ترحب </w:t>
      </w:r>
      <w:r w:rsidRPr="00F551CD">
        <w:rPr>
          <w:rFonts w:ascii="Calibri" w:eastAsia="Times New Roman" w:hAnsi="Calibri" w:cs="Calibri" w:hint="cs"/>
          <w:b/>
          <w:bCs/>
          <w:kern w:val="0"/>
          <w:sz w:val="28"/>
          <w:szCs w:val="28"/>
          <w:rtl/>
          <w:lang w:eastAsia="en-GB"/>
          <w14:ligatures w14:val="none"/>
        </w:rPr>
        <w:t>ال</w:t>
      </w:r>
      <w:r w:rsidRPr="00F551CD">
        <w:rPr>
          <w:rFonts w:ascii="Calibri" w:eastAsia="Times New Roman" w:hAnsi="Calibri" w:cs="Calibri"/>
          <w:b/>
          <w:bCs/>
          <w:kern w:val="0"/>
          <w:sz w:val="28"/>
          <w:szCs w:val="28"/>
          <w:rtl/>
          <w:lang w:eastAsia="en-GB"/>
          <w14:ligatures w14:val="none"/>
        </w:rPr>
        <w:t>منصة التفاعلية للأرض والطبيعة</w:t>
      </w:r>
      <w:r w:rsidRPr="00F551CD">
        <w:rPr>
          <w:rFonts w:ascii="Calibri" w:eastAsia="Times New Roman" w:hAnsi="Calibri" w:cs="Calibri"/>
          <w:kern w:val="0"/>
          <w:sz w:val="28"/>
          <w:szCs w:val="28"/>
          <w:rtl/>
          <w:lang w:eastAsia="en-GB"/>
          <w14:ligatures w14:val="none"/>
        </w:rPr>
        <w:t xml:space="preserve"> بطلبات الباحثين والجهات العلمية والمستثمرين الراغبين في الحصول على معلومات أكثر تفصيلًا عن معدن أو صخر اقتصادي أو نطاق جغرافي محدد</w:t>
      </w:r>
      <w:r w:rsidRPr="00F551CD">
        <w:rPr>
          <w:rFonts w:ascii="Calibri" w:eastAsia="Times New Roman" w:hAnsi="Calibri" w:cs="Calibri"/>
          <w:kern w:val="0"/>
          <w:sz w:val="28"/>
          <w:szCs w:val="28"/>
          <w:lang w:eastAsia="en-GB"/>
          <w14:ligatures w14:val="none"/>
        </w:rPr>
        <w:t>.</w:t>
      </w:r>
      <w:r>
        <w:rPr>
          <w:rFonts w:ascii="Calibri" w:eastAsia="Times New Roman" w:hAnsi="Calibri" w:cs="Calibri" w:hint="cs"/>
          <w:kern w:val="0"/>
          <w:sz w:val="28"/>
          <w:szCs w:val="28"/>
          <w:rtl/>
          <w:lang w:eastAsia="en-GB"/>
          <w14:ligatures w14:val="none"/>
        </w:rPr>
        <w:t xml:space="preserve"> </w:t>
      </w:r>
      <w:r w:rsidRPr="00F551CD">
        <w:rPr>
          <w:rFonts w:ascii="Calibri" w:eastAsia="Times New Roman" w:hAnsi="Calibri" w:cs="Calibri"/>
          <w:kern w:val="0"/>
          <w:sz w:val="28"/>
          <w:szCs w:val="28"/>
          <w:rtl/>
          <w:lang w:eastAsia="en-GB"/>
          <w14:ligatures w14:val="none"/>
        </w:rPr>
        <w:t xml:space="preserve">وتتم دراسة الطلبات </w:t>
      </w:r>
      <w:r w:rsidRPr="00F551CD">
        <w:rPr>
          <w:rFonts w:ascii="Calibri" w:eastAsia="Times New Roman" w:hAnsi="Calibri" w:cs="Calibri"/>
          <w:b/>
          <w:bCs/>
          <w:kern w:val="0"/>
          <w:sz w:val="28"/>
          <w:szCs w:val="28"/>
          <w:rtl/>
          <w:lang w:eastAsia="en-GB"/>
          <w14:ligatures w14:val="none"/>
        </w:rPr>
        <w:t>كلٌ بحسب غرضه ونطاقه وطبيعة البيانات المطلوبة ومصدرها ومدى إمكانية مشاركتها</w:t>
      </w:r>
      <w:r w:rsidRPr="00F551CD">
        <w:rPr>
          <w:rFonts w:ascii="Calibri" w:eastAsia="Times New Roman" w:hAnsi="Calibri" w:cs="Calibri"/>
          <w:kern w:val="0"/>
          <w:sz w:val="28"/>
          <w:szCs w:val="28"/>
          <w:rtl/>
          <w:lang w:eastAsia="en-GB"/>
          <w14:ligatures w14:val="none"/>
        </w:rPr>
        <w:t>، ويمكن توفير المعلومات المتاحة والمسموح بمشاركتها بما يخدم البحث العلمي والاستكشاف والاستثمار، دون أن يشكل ذلك ضمانًا لوجود احتياطي اقتصادي أو توصية استثمارية أو بديلًا عن الدراسات الفنية والقانونية والاقتصادية اللازمة</w:t>
      </w:r>
      <w:r w:rsidRPr="00F551CD">
        <w:rPr>
          <w:rFonts w:ascii="Calibri" w:eastAsia="Times New Roman" w:hAnsi="Calibri" w:cs="Calibri"/>
          <w:kern w:val="0"/>
          <w:sz w:val="28"/>
          <w:szCs w:val="28"/>
          <w:lang w:eastAsia="en-GB"/>
          <w14:ligatures w14:val="none"/>
        </w:rPr>
        <w:t>.</w:t>
      </w:r>
    </w:p>
    <w:p w14:paraId="49D39D10" w14:textId="29A1B4B6" w:rsidR="00F551CD" w:rsidRPr="00F551CD" w:rsidRDefault="00F551CD" w:rsidP="00D22FAD">
      <w:pPr>
        <w:bidi/>
        <w:spacing w:before="100" w:beforeAutospacing="1" w:after="100" w:afterAutospacing="1" w:line="276" w:lineRule="auto"/>
        <w:rPr>
          <w:rFonts w:ascii="Calibri" w:eastAsia="Times New Roman" w:hAnsi="Calibri" w:cs="Calibri"/>
          <w:kern w:val="0"/>
          <w:sz w:val="28"/>
          <w:szCs w:val="28"/>
          <w:lang w:eastAsia="en-GB"/>
          <w14:ligatures w14:val="none"/>
        </w:rPr>
      </w:pPr>
      <w:r w:rsidRPr="00F551CD">
        <w:rPr>
          <w:rFonts w:ascii="Calibri" w:eastAsia="Times New Roman" w:hAnsi="Calibri" w:cs="Calibri"/>
          <w:kern w:val="0"/>
          <w:sz w:val="28"/>
          <w:szCs w:val="28"/>
          <w:rtl/>
          <w:lang w:eastAsia="en-GB"/>
          <w14:ligatures w14:val="none"/>
        </w:rPr>
        <w:t xml:space="preserve">للتواصل والاستفسارات المتعلقة بالبيانات </w:t>
      </w:r>
      <w:proofErr w:type="gramStart"/>
      <w:r w:rsidRPr="00F551CD">
        <w:rPr>
          <w:rFonts w:ascii="Calibri" w:eastAsia="Times New Roman" w:hAnsi="Calibri" w:cs="Calibri"/>
          <w:kern w:val="0"/>
          <w:sz w:val="28"/>
          <w:szCs w:val="28"/>
          <w:rtl/>
          <w:lang w:eastAsia="en-GB"/>
          <w14:ligatures w14:val="none"/>
        </w:rPr>
        <w:t>المعدنية</w:t>
      </w:r>
      <w:r w:rsidRPr="00F551CD">
        <w:rPr>
          <w:rFonts w:ascii="Calibri" w:eastAsia="Times New Roman" w:hAnsi="Calibri" w:cs="Calibri"/>
          <w:kern w:val="0"/>
          <w:sz w:val="28"/>
          <w:szCs w:val="28"/>
          <w:lang w:eastAsia="en-GB"/>
          <w14:ligatures w14:val="none"/>
        </w:rPr>
        <w:t>:</w:t>
      </w:r>
      <w:r w:rsidR="00D22FAD">
        <w:rPr>
          <w:rFonts w:ascii="Calibri" w:eastAsia="Times New Roman" w:hAnsi="Calibri" w:cs="Calibri" w:hint="cs"/>
          <w:kern w:val="0"/>
          <w:sz w:val="28"/>
          <w:szCs w:val="28"/>
          <w:rtl/>
          <w:lang w:eastAsia="en-GB"/>
          <w14:ligatures w14:val="none"/>
        </w:rPr>
        <w:t xml:space="preserve">   </w:t>
      </w:r>
      <w:proofErr w:type="gramEnd"/>
      <w:hyperlink r:id="rId4" w:history="1">
        <w:r w:rsidRPr="00F551CD">
          <w:rPr>
            <w:rFonts w:ascii="Calibri" w:eastAsia="Times New Roman" w:hAnsi="Calibri" w:cs="Calibri"/>
            <w:b/>
            <w:bCs/>
            <w:color w:val="0000FF"/>
            <w:kern w:val="0"/>
            <w:sz w:val="28"/>
            <w:szCs w:val="28"/>
            <w:u w:val="single"/>
            <w:lang w:eastAsia="en-GB"/>
            <w14:ligatures w14:val="none"/>
          </w:rPr>
          <w:t>alamri.geo@gmail.com</w:t>
        </w:r>
      </w:hyperlink>
    </w:p>
    <w:p w14:paraId="0665E51C" w14:textId="77777777" w:rsidR="00346957" w:rsidRPr="00F551CD" w:rsidRDefault="00346957" w:rsidP="00D22FAD">
      <w:pPr>
        <w:bidi/>
        <w:spacing w:line="276" w:lineRule="auto"/>
        <w:rPr>
          <w:rFonts w:ascii="Calibri" w:hAnsi="Calibri" w:cs="Calibri"/>
          <w:sz w:val="28"/>
          <w:szCs w:val="28"/>
        </w:rPr>
      </w:pPr>
    </w:p>
    <w:sectPr w:rsidR="00346957" w:rsidRPr="00F551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F4B"/>
    <w:rsid w:val="00093FC0"/>
    <w:rsid w:val="00346957"/>
    <w:rsid w:val="003D3F27"/>
    <w:rsid w:val="00647F4B"/>
    <w:rsid w:val="00696386"/>
    <w:rsid w:val="00780918"/>
    <w:rsid w:val="00894F3E"/>
    <w:rsid w:val="00AB484A"/>
    <w:rsid w:val="00CF0291"/>
    <w:rsid w:val="00D22FAD"/>
    <w:rsid w:val="00E70890"/>
    <w:rsid w:val="00F551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84CF"/>
  <w15:chartTrackingRefBased/>
  <w15:docId w15:val="{DC6BEF21-EF55-46D8-AE85-8BABDD32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F4B"/>
    <w:rPr>
      <w:rFonts w:eastAsiaTheme="majorEastAsia" w:cstheme="majorBidi"/>
      <w:color w:val="272727" w:themeColor="text1" w:themeTint="D8"/>
    </w:rPr>
  </w:style>
  <w:style w:type="paragraph" w:styleId="Title">
    <w:name w:val="Title"/>
    <w:basedOn w:val="Normal"/>
    <w:next w:val="Normal"/>
    <w:link w:val="TitleChar"/>
    <w:uiPriority w:val="10"/>
    <w:qFormat/>
    <w:rsid w:val="00647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F4B"/>
    <w:pPr>
      <w:spacing w:before="160"/>
      <w:jc w:val="center"/>
    </w:pPr>
    <w:rPr>
      <w:i/>
      <w:iCs/>
      <w:color w:val="404040" w:themeColor="text1" w:themeTint="BF"/>
    </w:rPr>
  </w:style>
  <w:style w:type="character" w:customStyle="1" w:styleId="QuoteChar">
    <w:name w:val="Quote Char"/>
    <w:basedOn w:val="DefaultParagraphFont"/>
    <w:link w:val="Quote"/>
    <w:uiPriority w:val="29"/>
    <w:rsid w:val="00647F4B"/>
    <w:rPr>
      <w:i/>
      <w:iCs/>
      <w:color w:val="404040" w:themeColor="text1" w:themeTint="BF"/>
    </w:rPr>
  </w:style>
  <w:style w:type="paragraph" w:styleId="ListParagraph">
    <w:name w:val="List Paragraph"/>
    <w:basedOn w:val="Normal"/>
    <w:uiPriority w:val="34"/>
    <w:qFormat/>
    <w:rsid w:val="00647F4B"/>
    <w:pPr>
      <w:ind w:left="720"/>
      <w:contextualSpacing/>
    </w:pPr>
  </w:style>
  <w:style w:type="character" w:styleId="IntenseEmphasis">
    <w:name w:val="Intense Emphasis"/>
    <w:basedOn w:val="DefaultParagraphFont"/>
    <w:uiPriority w:val="21"/>
    <w:qFormat/>
    <w:rsid w:val="00647F4B"/>
    <w:rPr>
      <w:i/>
      <w:iCs/>
      <w:color w:val="0F4761" w:themeColor="accent1" w:themeShade="BF"/>
    </w:rPr>
  </w:style>
  <w:style w:type="paragraph" w:styleId="IntenseQuote">
    <w:name w:val="Intense Quote"/>
    <w:basedOn w:val="Normal"/>
    <w:next w:val="Normal"/>
    <w:link w:val="IntenseQuoteChar"/>
    <w:uiPriority w:val="30"/>
    <w:qFormat/>
    <w:rsid w:val="00647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4B"/>
    <w:rPr>
      <w:i/>
      <w:iCs/>
      <w:color w:val="0F4761" w:themeColor="accent1" w:themeShade="BF"/>
    </w:rPr>
  </w:style>
  <w:style w:type="character" w:styleId="IntenseReference">
    <w:name w:val="Intense Reference"/>
    <w:basedOn w:val="DefaultParagraphFont"/>
    <w:uiPriority w:val="32"/>
    <w:qFormat/>
    <w:rsid w:val="00647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amri.ge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alamri</dc:creator>
  <cp:keywords/>
  <dc:description/>
  <cp:lastModifiedBy>abdullah alamri</cp:lastModifiedBy>
  <cp:revision>4</cp:revision>
  <dcterms:created xsi:type="dcterms:W3CDTF">2026-10-06T04:38:00Z</dcterms:created>
  <dcterms:modified xsi:type="dcterms:W3CDTF">2026-10-17T07:15:00Z</dcterms:modified>
</cp:coreProperties>
</file>