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Xf184823ba3c419520c6acb8fdc36826bdc1fe2e"/>
    <w:p>
      <w:pPr>
        <w:pStyle w:val="Heading1"/>
      </w:pPr>
      <w:r>
        <w:t xml:space="preserve">Guion para explicar el notebook: Lab 10 · Auditoría de sesgos y riesgos del modelo telco</w:t>
      </w:r>
    </w:p>
    <w:bookmarkStart w:id="20" w:name="introducción-general-del-laboratorio"/>
    <w:p>
      <w:pPr>
        <w:pStyle w:val="Heading2"/>
      </w:pPr>
      <w:r>
        <w:t xml:space="preserve">Introducción general del laboratorio</w:t>
      </w:r>
    </w:p>
    <w:p>
      <w:pPr>
        <w:pStyle w:val="FirstParagraph"/>
      </w:pPr>
      <w:r>
        <w:t xml:space="preserve">En este último laboratorio vamos a trabajar con un tema clave en inteligencia artificial aplicada a empresas: la</w:t>
      </w:r>
      <w:r>
        <w:t xml:space="preserve"> </w:t>
      </w:r>
      <w:r>
        <w:rPr>
          <w:b/>
          <w:bCs/>
        </w:rPr>
        <w:t xml:space="preserve">auditoría de modelos</w:t>
      </w:r>
      <w:r>
        <w:t xml:space="preserve">.</w:t>
      </w:r>
    </w:p>
    <w:p>
      <w:pPr>
        <w:pStyle w:val="BodyText"/>
      </w:pPr>
      <w:r>
        <w:t xml:space="preserve">El caso práctico se centra en un modelo de</w:t>
      </w:r>
      <w:r>
        <w:t xml:space="preserve"> </w:t>
      </w:r>
      <w:r>
        <w:rPr>
          <w:b/>
          <w:bCs/>
        </w:rPr>
        <w:t xml:space="preserve">churn telco</w:t>
      </w:r>
      <w:r>
        <w:t xml:space="preserve">, es decir, un modelo que intenta predecir qué clientes pueden abandonar una operadora de telecomunicaciones.</w:t>
      </w:r>
    </w:p>
    <w:p>
      <w:pPr>
        <w:pStyle w:val="BodyText"/>
      </w:pPr>
      <w:r>
        <w:t xml:space="preserve">La idea principal del laboratorio es esta:</w:t>
      </w:r>
    </w:p>
    <w:p>
      <w:pPr>
        <w:pStyle w:val="BlockText"/>
      </w:pPr>
      <w:r>
        <w:t xml:space="preserve">Un modelo puede tener una accuracy global aceptable y, aun así, comportarse peor para algunos grupos de clientes.</w:t>
      </w:r>
    </w:p>
    <w:p>
      <w:pPr>
        <w:pStyle w:val="FirstParagraph"/>
      </w:pPr>
      <w:r>
        <w:t xml:space="preserve">Por eso, en este notebook no vamos a mirar solo si el modelo acierta mucho o poco en general. Vamos a analizar si el modelo funciona igual de bien según:</w:t>
      </w:r>
    </w:p>
    <w:p>
      <w:pPr>
        <w:pStyle w:val="Compact"/>
        <w:numPr>
          <w:ilvl w:val="0"/>
          <w:numId w:val="1001"/>
        </w:numPr>
      </w:pPr>
      <w:r>
        <w:t xml:space="preserve">Región del cliente.</w:t>
      </w:r>
    </w:p>
    <w:p>
      <w:pPr>
        <w:pStyle w:val="Compact"/>
        <w:numPr>
          <w:ilvl w:val="0"/>
          <w:numId w:val="1001"/>
        </w:numPr>
      </w:pPr>
      <w:r>
        <w:t xml:space="preserve">Tipo de zona.</w:t>
      </w:r>
    </w:p>
    <w:p>
      <w:pPr>
        <w:pStyle w:val="Compact"/>
        <w:numPr>
          <w:ilvl w:val="0"/>
          <w:numId w:val="1001"/>
        </w:numPr>
      </w:pPr>
      <w:r>
        <w:t xml:space="preserve">Falsos positivos.</w:t>
      </w:r>
    </w:p>
    <w:p>
      <w:pPr>
        <w:pStyle w:val="Compact"/>
        <w:numPr>
          <w:ilvl w:val="0"/>
          <w:numId w:val="1001"/>
        </w:numPr>
      </w:pPr>
      <w:r>
        <w:t xml:space="preserve">Falsos negativos.</w:t>
      </w:r>
    </w:p>
    <w:p>
      <w:pPr>
        <w:pStyle w:val="Compact"/>
        <w:numPr>
          <w:ilvl w:val="0"/>
          <w:numId w:val="1001"/>
        </w:numPr>
      </w:pPr>
      <w:r>
        <w:t xml:space="preserve">Recall por grupo.</w:t>
      </w:r>
    </w:p>
    <w:p>
      <w:pPr>
        <w:pStyle w:val="Compact"/>
        <w:numPr>
          <w:ilvl w:val="0"/>
          <w:numId w:val="1001"/>
        </w:numPr>
      </w:pPr>
      <w:r>
        <w:t xml:space="preserve">Paridad demográfica.</w:t>
      </w:r>
    </w:p>
    <w:p>
      <w:pPr>
        <w:pStyle w:val="Compact"/>
        <w:numPr>
          <w:ilvl w:val="0"/>
          <w:numId w:val="1001"/>
        </w:numPr>
      </w:pPr>
      <w:r>
        <w:t xml:space="preserve">Igualdad de oportunidades.</w:t>
      </w:r>
    </w:p>
    <w:p>
      <w:pPr>
        <w:pStyle w:val="Compact"/>
        <w:numPr>
          <w:ilvl w:val="0"/>
          <w:numId w:val="1001"/>
        </w:numPr>
      </w:pPr>
      <w:r>
        <w:t xml:space="preserve">Posibles variables proxy.</w:t>
      </w:r>
    </w:p>
    <w:p>
      <w:pPr>
        <w:pStyle w:val="Compact"/>
        <w:numPr>
          <w:ilvl w:val="0"/>
          <w:numId w:val="1001"/>
        </w:numPr>
      </w:pPr>
      <w:r>
        <w:t xml:space="preserve">Medidas de mitigación y gobernanza.</w:t>
      </w:r>
    </w:p>
    <w:p>
      <w:pPr>
        <w:pStyle w:val="FirstParagraph"/>
      </w:pPr>
      <w:r>
        <w:t xml:space="preserve">Este laboratorio es muy importante porque conecta la IA con la responsabilidad, la ética, la auditoría y la toma de decisiones en sistemas complejos.</w:t>
      </w:r>
    </w:p>
    <w:p>
      <w:r>
        <w:pict>
          <v:rect style="width:0;height:1.5pt" o:hralign="center" o:hrstd="t" o:hr="t"/>
        </w:pict>
      </w:r>
    </w:p>
    <w:bookmarkEnd w:id="20"/>
    <w:bookmarkStart w:id="21" w:name="celda-1.-título-y-objetivo-del-notebook"/>
    <w:p>
      <w:pPr>
        <w:pStyle w:val="Heading2"/>
      </w:pPr>
      <w:r>
        <w:t xml:space="preserve">Celda 1. Título y objetivo del notebook</w:t>
      </w:r>
    </w:p>
    <w:p>
      <w:pPr>
        <w:pStyle w:val="FirstParagraph"/>
      </w:pPr>
      <w:r>
        <w:t xml:space="preserve">La primera celda es una celda de texto:</w:t>
      </w:r>
    </w:p>
    <w:p>
      <w:pPr>
        <w:pStyle w:val="SourceCode"/>
      </w:pPr>
      <w:r>
        <w:rPr>
          <w:rStyle w:val="VerbatimChar"/>
        </w:rPr>
        <w:t xml:space="preserve">Lab 10 · Auditoría de sesgos y riesgos del modelo telco</w:t>
      </w:r>
    </w:p>
    <w:p>
      <w:pPr>
        <w:pStyle w:val="FirstParagraph"/>
      </w:pPr>
      <w:r>
        <w:t xml:space="preserve">El notebook explica que se va a auditar un modelo de churn utilizando:</w:t>
      </w:r>
    </w:p>
    <w:p>
      <w:pPr>
        <w:pStyle w:val="Compact"/>
        <w:numPr>
          <w:ilvl w:val="0"/>
          <w:numId w:val="1002"/>
        </w:numPr>
      </w:pPr>
      <w:r>
        <w:t xml:space="preserve">Accuracy global.</w:t>
      </w:r>
    </w:p>
    <w:p>
      <w:pPr>
        <w:pStyle w:val="Compact"/>
        <w:numPr>
          <w:ilvl w:val="0"/>
          <w:numId w:val="1002"/>
        </w:numPr>
      </w:pPr>
      <w:r>
        <w:t xml:space="preserve">Métricas por grupo.</w:t>
      </w:r>
    </w:p>
    <w:p>
      <w:pPr>
        <w:pStyle w:val="Compact"/>
        <w:numPr>
          <w:ilvl w:val="0"/>
          <w:numId w:val="1002"/>
        </w:numPr>
      </w:pPr>
      <w:r>
        <w:t xml:space="preserve">Falsos positivos y falsos negativos.</w:t>
      </w:r>
    </w:p>
    <w:p>
      <w:pPr>
        <w:pStyle w:val="Compact"/>
        <w:numPr>
          <w:ilvl w:val="0"/>
          <w:numId w:val="1002"/>
        </w:numPr>
      </w:pPr>
      <w:r>
        <w:t xml:space="preserve">Paridad demográfica.</w:t>
      </w:r>
    </w:p>
    <w:p>
      <w:pPr>
        <w:pStyle w:val="Compact"/>
        <w:numPr>
          <w:ilvl w:val="0"/>
          <w:numId w:val="1002"/>
        </w:numPr>
      </w:pPr>
      <w:r>
        <w:t xml:space="preserve">Igualdad de oportunidades.</w:t>
      </w:r>
    </w:p>
    <w:p>
      <w:pPr>
        <w:pStyle w:val="Compact"/>
        <w:numPr>
          <w:ilvl w:val="0"/>
          <w:numId w:val="1002"/>
        </w:numPr>
      </w:pPr>
      <w:r>
        <w:t xml:space="preserve">Variables proxy.</w:t>
      </w:r>
    </w:p>
    <w:p>
      <w:pPr>
        <w:pStyle w:val="Compact"/>
        <w:numPr>
          <w:ilvl w:val="0"/>
          <w:numId w:val="1002"/>
        </w:numPr>
      </w:pPr>
      <w:r>
        <w:t xml:space="preserve">Gobernanza.</w:t>
      </w:r>
    </w:p>
    <w:p>
      <w:pPr>
        <w:pStyle w:val="FirstParagraph"/>
      </w:pPr>
      <w:r>
        <w:t xml:space="preserve">Guion para explicarlo:</w:t>
      </w:r>
    </w:p>
    <w:p>
      <w:pPr>
        <w:pStyle w:val="BlockText"/>
      </w:pPr>
      <w:r>
        <w:t xml:space="preserve">En este laboratorio no vamos a entrenar un modelo desde cero. Vamos a auditar un modelo ya construido. Eso significa que tenemos, por un lado, lo que ocurrió realmente y, por otro, lo que predijo el modelo.</w:t>
      </w:r>
    </w:p>
    <w:p>
      <w:pPr>
        <w:pStyle w:val="BlockText"/>
      </w:pPr>
      <w:r>
        <w:t xml:space="preserve">Nuestro objetivo es comprobar si el modelo funciona de forma equilibrada o si falla más en algunos grupos de clientes.</w:t>
      </w:r>
    </w:p>
    <w:p>
      <w:pPr>
        <w:pStyle w:val="FirstParagraph"/>
      </w:pPr>
      <w:r>
        <w:t xml:space="preserve">Mensaje clave para el alumnado:</w:t>
      </w:r>
    </w:p>
    <w:p>
      <w:pPr>
        <w:pStyle w:val="BlockText"/>
      </w:pPr>
      <w:r>
        <w:t xml:space="preserve">Una IA no debe evaluarse solo por su resultado medio. Hay que comprobar también a quién falla y qué consecuencias tienen esos errores.</w:t>
      </w:r>
    </w:p>
    <w:p>
      <w:r>
        <w:pict>
          <v:rect style="width:0;height:1.5pt" o:hralign="center" o:hrstd="t" o:hr="t"/>
        </w:pict>
      </w:r>
    </w:p>
    <w:bookmarkEnd w:id="21"/>
    <w:bookmarkStart w:id="24" w:name="Xfe58729d635d52ebd64c76259a685a3b321fc05"/>
    <w:p>
      <w:pPr>
        <w:pStyle w:val="Heading2"/>
      </w:pPr>
      <w:r>
        <w:t xml:space="preserve">Celda 2. Instalación de librerías y configuración inicial</w:t>
      </w:r>
    </w:p>
    <w:p>
      <w:pPr>
        <w:pStyle w:val="FirstParagraph"/>
      </w:pPr>
      <w:r>
        <w:t xml:space="preserve">Esta celda prepara el entorno:</w:t>
      </w:r>
    </w:p>
    <w:p>
      <w:pPr>
        <w:pStyle w:val="SourceCode"/>
      </w:pPr>
      <w:r>
        <w:rPr>
          <w:rStyle w:val="OperatorTok"/>
        </w:rPr>
        <w:t xml:space="preserve">%</w:t>
      </w:r>
      <w:r>
        <w:rPr>
          <w:rStyle w:val="NormalTok"/>
        </w:rPr>
        <w:t xml:space="preserve">pip </w:t>
      </w:r>
      <w:r>
        <w:rPr>
          <w:rStyle w:val="OperatorTok"/>
        </w:rPr>
        <w:t xml:space="preserve">-</w:t>
      </w:r>
      <w:r>
        <w:rPr>
          <w:rStyle w:val="NormalTok"/>
        </w:rPr>
        <w:t xml:space="preserve">q install pandas numpy matplotlib networkx scikit</w:t>
      </w:r>
      <w:r>
        <w:rPr>
          <w:rStyle w:val="OperatorTok"/>
        </w:rPr>
        <w:t xml:space="preserve">-</w:t>
      </w:r>
      <w:r>
        <w:rPr>
          <w:rStyle w:val="NormalTok"/>
        </w:rPr>
        <w:t xml:space="preserve">learn s3fs</w:t>
      </w:r>
    </w:p>
    <w:p>
      <w:pPr>
        <w:pStyle w:val="FirstParagraph"/>
      </w:pPr>
      <w:r>
        <w:t xml:space="preserve">Después importa las librerías:</w:t>
      </w:r>
    </w:p>
    <w:p>
      <w:pPr>
        <w:pStyle w:val="SourceCode"/>
      </w:pPr>
      <w:r>
        <w:rPr>
          <w:rStyle w:val="ImportTok"/>
        </w:rPr>
        <w:t xml:space="preserve">import</w:t>
      </w:r>
      <w:r>
        <w:rPr>
          <w:rStyle w:val="NormalTok"/>
        </w:rPr>
        <w:t xml:space="preserve"> os</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sklearn.metrics </w:t>
      </w:r>
      <w:r>
        <w:rPr>
          <w:rStyle w:val="ImportTok"/>
        </w:rPr>
        <w:t xml:space="preserve">import</w:t>
      </w:r>
      <w:r>
        <w:rPr>
          <w:rStyle w:val="NormalTok"/>
        </w:rPr>
        <w:t xml:space="preserve"> confusion_matrix</w:t>
      </w:r>
    </w:p>
    <w:bookmarkStart w:id="22" w:name="para-qué-sirve-cada-librería"/>
    <w:p>
      <w:pPr>
        <w:pStyle w:val="Heading3"/>
      </w:pPr>
      <w:r>
        <w:t xml:space="preserve">Para qué sirve cada librería</w:t>
      </w:r>
    </w:p>
    <w:p>
      <w:pPr>
        <w:pStyle w:val="FirstParagraph"/>
      </w:pPr>
      <w:r>
        <w:rPr>
          <w:rStyle w:val="VerbatimChar"/>
        </w:rPr>
        <w:t xml:space="preserve">pandas</w:t>
      </w:r>
      <w:r>
        <w:t xml:space="preserve"> </w:t>
      </w:r>
      <w:r>
        <w:t xml:space="preserve">sirve para trabajar con tablas.</w:t>
      </w:r>
    </w:p>
    <w:p>
      <w:pPr>
        <w:pStyle w:val="BodyText"/>
      </w:pPr>
      <w:r>
        <w:rPr>
          <w:rStyle w:val="VerbatimChar"/>
        </w:rPr>
        <w:t xml:space="preserve">numpy</w:t>
      </w:r>
      <w:r>
        <w:t xml:space="preserve"> </w:t>
      </w:r>
      <w:r>
        <w:t xml:space="preserve">sirve para cálculos numéricos.</w:t>
      </w:r>
    </w:p>
    <w:p>
      <w:pPr>
        <w:pStyle w:val="BodyText"/>
      </w:pPr>
      <w:r>
        <w:rPr>
          <w:rStyle w:val="VerbatimChar"/>
        </w:rPr>
        <w:t xml:space="preserve">matplotlib</w:t>
      </w:r>
      <w:r>
        <w:t xml:space="preserve"> </w:t>
      </w:r>
      <w:r>
        <w:t xml:space="preserve">sirve para generar gráficos.</w:t>
      </w:r>
    </w:p>
    <w:p>
      <w:pPr>
        <w:pStyle w:val="BodyText"/>
      </w:pPr>
      <w:r>
        <w:rPr>
          <w:rStyle w:val="VerbatimChar"/>
        </w:rPr>
        <w:t xml:space="preserve">sklearn.metrics</w:t>
      </w:r>
      <w:r>
        <w:t xml:space="preserve"> </w:t>
      </w:r>
      <w:r>
        <w:t xml:space="preserve">contiene herramientas para evaluar modelos.</w:t>
      </w:r>
    </w:p>
    <w:p>
      <w:pPr>
        <w:pStyle w:val="BodyText"/>
      </w:pPr>
      <w:r>
        <w:t xml:space="preserve">Después se configuran las rutas:</w:t>
      </w:r>
    </w:p>
    <w:p>
      <w:pPr>
        <w:pStyle w:val="SourceCode"/>
      </w:pPr>
      <w:r>
        <w:rPr>
          <w:rStyle w:val="NormalTok"/>
        </w:rPr>
        <w:t xml:space="preserve">USE_S3 </w:t>
      </w:r>
      <w:r>
        <w:rPr>
          <w:rStyle w:val="OperatorTok"/>
        </w:rPr>
        <w:t xml:space="preserve">=</w:t>
      </w:r>
      <w:r>
        <w:rPr>
          <w:rStyle w:val="NormalTok"/>
        </w:rPr>
        <w:t xml:space="preserve"> </w:t>
      </w:r>
      <w:r>
        <w:rPr>
          <w:rStyle w:val="VariableTok"/>
        </w:rPr>
        <w:t xml:space="preserve">False</w:t>
      </w:r>
      <w:r>
        <w:br/>
      </w:r>
      <w:r>
        <w:rPr>
          <w:rStyle w:val="NormalTok"/>
        </w:rPr>
        <w:t xml:space="preserve">DATA_DIR </w:t>
      </w:r>
      <w:r>
        <w:rPr>
          <w:rStyle w:val="OperatorTok"/>
        </w:rPr>
        <w:t xml:space="preserve">=</w:t>
      </w:r>
      <w:r>
        <w:rPr>
          <w:rStyle w:val="NormalTok"/>
        </w:rPr>
        <w:t xml:space="preserve"> Path(</w:t>
      </w:r>
      <w:r>
        <w:rPr>
          <w:rStyle w:val="StringTok"/>
        </w:rPr>
        <w:t xml:space="preserve">'data'</w:t>
      </w:r>
      <w:r>
        <w:rPr>
          <w:rStyle w:val="NormalTok"/>
        </w:rPr>
        <w:t xml:space="preserve">)</w:t>
      </w:r>
      <w:r>
        <w:br/>
      </w:r>
      <w:r>
        <w:rPr>
          <w:rStyle w:val="NormalTok"/>
        </w:rPr>
        <w:t xml:space="preserve">S3_PREFIX </w:t>
      </w:r>
      <w:r>
        <w:rPr>
          <w:rStyle w:val="OperatorTok"/>
        </w:rPr>
        <w:t xml:space="preserve">=</w:t>
      </w:r>
      <w:r>
        <w:rPr>
          <w:rStyle w:val="NormalTok"/>
        </w:rPr>
        <w:t xml:space="preserve"> </w:t>
      </w:r>
      <w:r>
        <w:rPr>
          <w:rStyle w:val="StringTok"/>
        </w:rPr>
        <w:t xml:space="preserve">'s3://TU_BUCKET/TU_CARPETA'</w:t>
      </w:r>
    </w:p>
    <w:p>
      <w:pPr>
        <w:pStyle w:val="FirstParagraph"/>
      </w:pPr>
      <w:r>
        <w:t xml:space="preserve">Como</w:t>
      </w:r>
      <w:r>
        <w:t xml:space="preserve"> </w:t>
      </w:r>
      <w:r>
        <w:rPr>
          <w:rStyle w:val="VerbatimChar"/>
        </w:rPr>
        <w:t xml:space="preserve">USE_S3 = False</w:t>
      </w:r>
      <w:r>
        <w:t xml:space="preserve">, el notebook lee los datos desde la carpeta local</w:t>
      </w:r>
      <w:r>
        <w:t xml:space="preserve"> </w:t>
      </w:r>
      <w:r>
        <w:rPr>
          <w:rStyle w:val="VerbatimChar"/>
        </w:rPr>
        <w:t xml:space="preserve">data</w:t>
      </w:r>
      <w:r>
        <w:t xml:space="preserve">.</w:t>
      </w:r>
    </w:p>
    <w:p>
      <w:pPr>
        <w:pStyle w:val="BodyText"/>
      </w:pPr>
      <w:r>
        <w:t xml:space="preserve">También se crea la carpeta de salida:</w:t>
      </w:r>
    </w:p>
    <w:p>
      <w:pPr>
        <w:pStyle w:val="SourceCode"/>
      </w:pPr>
      <w:r>
        <w:rPr>
          <w:rStyle w:val="NormalTok"/>
        </w:rPr>
        <w:t xml:space="preserve">OUTPUT_DIR </w:t>
      </w:r>
      <w:r>
        <w:rPr>
          <w:rStyle w:val="OperatorTok"/>
        </w:rPr>
        <w:t xml:space="preserve">=</w:t>
      </w:r>
      <w:r>
        <w:rPr>
          <w:rStyle w:val="NormalTok"/>
        </w:rPr>
        <w:t xml:space="preserve"> Path(</w:t>
      </w:r>
      <w:r>
        <w:rPr>
          <w:rStyle w:val="StringTok"/>
        </w:rPr>
        <w:t xml:space="preserve">'outputs'</w:t>
      </w:r>
      <w:r>
        <w:rPr>
          <w:rStyle w:val="NormalTok"/>
        </w:rPr>
        <w:t xml:space="preserve">)</w:t>
      </w:r>
      <w:r>
        <w:br/>
      </w:r>
      <w:r>
        <w:rPr>
          <w:rStyle w:val="NormalTok"/>
        </w:rPr>
        <w:t xml:space="preserve">OUTPUT_DIR.mkdir(exist_ok</w:t>
      </w:r>
      <w:r>
        <w:rPr>
          <w:rStyle w:val="OperatorTok"/>
        </w:rPr>
        <w:t xml:space="preserve">=</w:t>
      </w:r>
      <w:r>
        <w:rPr>
          <w:rStyle w:val="VariableTok"/>
        </w:rPr>
        <w:t xml:space="preserve">True</w:t>
      </w:r>
      <w:r>
        <w:rPr>
          <w:rStyle w:val="NormalTok"/>
        </w:rPr>
        <w:t xml:space="preserve">)</w:t>
      </w:r>
    </w:p>
    <w:p>
      <w:pPr>
        <w:pStyle w:val="FirstParagraph"/>
      </w:pPr>
      <w:r>
        <w:t xml:space="preserve">Guion para explicarlo:</w:t>
      </w:r>
    </w:p>
    <w:p>
      <w:pPr>
        <w:pStyle w:val="BlockText"/>
      </w:pPr>
      <w:r>
        <w:t xml:space="preserve">Esta celda prepara el notebook. Se instalan e importan las librerías necesarias y se indica dónde están los datos.</w:t>
      </w:r>
    </w:p>
    <w:p>
      <w:pPr>
        <w:pStyle w:val="BlockText"/>
      </w:pPr>
      <w:r>
        <w:t xml:space="preserve">En este caso trabajamos en local, leyendo desde la carpeta</w:t>
      </w:r>
      <w:r>
        <w:t xml:space="preserve"> </w:t>
      </w:r>
      <w:r>
        <w:rPr>
          <w:rStyle w:val="VerbatimChar"/>
        </w:rPr>
        <w:t xml:space="preserve">data</w:t>
      </w:r>
      <w:r>
        <w:t xml:space="preserve">, aunque el notebook está preparado para adaptarse a S3 si fuera necesario.</w:t>
      </w:r>
    </w:p>
    <w:bookmarkEnd w:id="22"/>
    <w:bookmarkStart w:id="23" w:name="resultado-que-aparece"/>
    <w:p>
      <w:pPr>
        <w:pStyle w:val="Heading3"/>
      </w:pPr>
      <w:r>
        <w:t xml:space="preserve">Resultado que aparece</w:t>
      </w:r>
    </w:p>
    <w:p>
      <w:pPr>
        <w:pStyle w:val="FirstParagraph"/>
      </w:pPr>
      <w:r>
        <w:t xml:space="preserve">Aparece el mensaje:</w:t>
      </w:r>
    </w:p>
    <w:p>
      <w:pPr>
        <w:pStyle w:val="SourceCode"/>
      </w:pPr>
      <w:r>
        <w:rPr>
          <w:rStyle w:val="VerbatimChar"/>
        </w:rPr>
        <w:t xml:space="preserve">Note: you may need to restart the kernel to use updated packages.</w:t>
      </w:r>
    </w:p>
    <w:p>
      <w:pPr>
        <w:pStyle w:val="FirstParagraph"/>
      </w:pPr>
      <w:r>
        <w:t xml:space="preserve">Explicación:</w:t>
      </w:r>
    </w:p>
    <w:p>
      <w:pPr>
        <w:pStyle w:val="BlockText"/>
      </w:pPr>
      <w:r>
        <w:t xml:space="preserve">Este aviso es normal en Jupyter. Significa que, al instalar librerías, puede ser necesario reiniciar el kernel. Si el resto de celdas funcionan, no hay que preocuparse.</w:t>
      </w:r>
    </w:p>
    <w:p>
      <w:r>
        <w:pict>
          <v:rect style="width:0;height:1.5pt" o:hralign="center" o:hrstd="t" o:hr="t"/>
        </w:pict>
      </w:r>
    </w:p>
    <w:bookmarkEnd w:id="23"/>
    <w:bookmarkEnd w:id="24"/>
    <w:bookmarkStart w:id="25" w:name="Xcabec92e46b341ecafe806c93b79a7be2c40fac"/>
    <w:p>
      <w:pPr>
        <w:pStyle w:val="Heading2"/>
      </w:pPr>
      <w:r>
        <w:t xml:space="preserve">Celda 3. Parte A: cargar datos de auditoría</w:t>
      </w:r>
    </w:p>
    <w:p>
      <w:pPr>
        <w:pStyle w:val="FirstParagraph"/>
      </w:pPr>
      <w:r>
        <w:t xml:space="preserve">Esta celda es de texto:</w:t>
      </w:r>
    </w:p>
    <w:p>
      <w:pPr>
        <w:pStyle w:val="SourceCode"/>
      </w:pPr>
      <w:r>
        <w:rPr>
          <w:rStyle w:val="VerbatimChar"/>
        </w:rPr>
        <w:t xml:space="preserve">Parte A. Cargar datos de auditoría</w:t>
      </w:r>
    </w:p>
    <w:p>
      <w:pPr>
        <w:pStyle w:val="FirstParagraph"/>
      </w:pPr>
      <w:r>
        <w:t xml:space="preserve">Guion para explicarlo:</w:t>
      </w:r>
    </w:p>
    <w:p>
      <w:pPr>
        <w:pStyle w:val="BlockText"/>
      </w:pPr>
      <w:r>
        <w:t xml:space="preserve">Empezamos cargando el dataset que contiene los clientes, sus características básicas y las predicciones del modelo.</w:t>
      </w:r>
    </w:p>
    <w:p>
      <w:pPr>
        <w:pStyle w:val="BlockText"/>
      </w:pPr>
      <w:r>
        <w:t xml:space="preserve">En una auditoría de modelos necesitamos comparar la realidad con lo que ha predicho la IA.</w:t>
      </w:r>
    </w:p>
    <w:p>
      <w:r>
        <w:pict>
          <v:rect style="width:0;height:1.5pt" o:hralign="center" o:hrstd="t" o:hr="t"/>
        </w:pict>
      </w:r>
    </w:p>
    <w:bookmarkEnd w:id="25"/>
    <w:bookmarkStart w:id="28" w:name="X7753477e21a331a7b18b5ddd3400c21476a4836"/>
    <w:p>
      <w:pPr>
        <w:pStyle w:val="Heading2"/>
      </w:pPr>
      <w:r>
        <w:t xml:space="preserve">Celda 4. Carga del fichero</w:t>
      </w:r>
      <w:r>
        <w:t xml:space="preserve"> </w:t>
      </w:r>
      <w:r>
        <w:rPr>
          <w:rStyle w:val="VerbatimChar"/>
        </w:rPr>
        <w:t xml:space="preserve">telco_model_audit_lab10.csv</w:t>
      </w:r>
    </w:p>
    <w:p>
      <w:pPr>
        <w:pStyle w:val="FirstParagraph"/>
      </w:pPr>
      <w:r>
        <w:t xml:space="preserve">La celda carga el dataset:</w:t>
      </w:r>
    </w:p>
    <w:p>
      <w:pPr>
        <w:pStyle w:val="SourceCode"/>
      </w:pPr>
      <w:r>
        <w:rPr>
          <w:rStyle w:val="NormalTok"/>
        </w:rPr>
        <w:t xml:space="preserve">df </w:t>
      </w:r>
      <w:r>
        <w:rPr>
          <w:rStyle w:val="OperatorTok"/>
        </w:rPr>
        <w:t xml:space="preserve">=</w:t>
      </w:r>
      <w:r>
        <w:rPr>
          <w:rStyle w:val="NormalTok"/>
        </w:rPr>
        <w:t xml:space="preserve"> pd.read_csv(data_path(</w:t>
      </w:r>
      <w:r>
        <w:rPr>
          <w:rStyle w:val="StringTok"/>
        </w:rPr>
        <w:t xml:space="preserve">'telco_model_audit_lab10.csv'</w:t>
      </w:r>
      <w:r>
        <w:rPr>
          <w:rStyle w:val="NormalTok"/>
        </w:rPr>
        <w:t xml:space="preserve">))</w:t>
      </w:r>
      <w:r>
        <w:br/>
      </w:r>
      <w:r>
        <w:rPr>
          <w:rStyle w:val="BuiltInTok"/>
        </w:rPr>
        <w:t xml:space="preserve">print</w:t>
      </w:r>
      <w:r>
        <w:rPr>
          <w:rStyle w:val="NormalTok"/>
        </w:rPr>
        <w:t xml:space="preserve">(df.shape)</w:t>
      </w:r>
      <w:r>
        <w:br/>
      </w:r>
      <w:r>
        <w:rPr>
          <w:rStyle w:val="NormalTok"/>
        </w:rPr>
        <w:t xml:space="preserve">display(df.head())</w:t>
      </w:r>
    </w:p>
    <w:bookmarkStart w:id="26" w:name="resultado-que-aparece-1"/>
    <w:p>
      <w:pPr>
        <w:pStyle w:val="Heading3"/>
      </w:pPr>
      <w:r>
        <w:t xml:space="preserve">Resultado que aparece</w:t>
      </w:r>
    </w:p>
    <w:p>
      <w:pPr>
        <w:pStyle w:val="FirstParagraph"/>
      </w:pPr>
      <w:r>
        <w:t xml:space="preserve">El notebook muestra:</w:t>
      </w:r>
    </w:p>
    <w:p>
      <w:pPr>
        <w:pStyle w:val="SourceCode"/>
      </w:pPr>
      <w:r>
        <w:rPr>
          <w:rStyle w:val="VerbatimChar"/>
        </w:rPr>
        <w:t xml:space="preserve">(1000, 8)</w:t>
      </w:r>
    </w:p>
    <w:p>
      <w:pPr>
        <w:pStyle w:val="FirstParagraph"/>
      </w:pPr>
      <w:r>
        <w:t xml:space="preserve">Esto significa que tenemos:</w:t>
      </w:r>
    </w:p>
    <w:p>
      <w:pPr>
        <w:pStyle w:val="Compact"/>
        <w:numPr>
          <w:ilvl w:val="0"/>
          <w:numId w:val="1003"/>
        </w:numPr>
      </w:pPr>
      <w:r>
        <w:t xml:space="preserve">1000 clientes.</w:t>
      </w:r>
    </w:p>
    <w:p>
      <w:pPr>
        <w:pStyle w:val="Compact"/>
        <w:numPr>
          <w:ilvl w:val="0"/>
          <w:numId w:val="1003"/>
        </w:numPr>
      </w:pPr>
      <w:r>
        <w:t xml:space="preserve">8 columnas.</w:t>
      </w:r>
    </w:p>
    <w:p>
      <w:pPr>
        <w:pStyle w:val="FirstParagraph"/>
      </w:pPr>
      <w:r>
        <w:t xml:space="preserve">Después aparece una tabla con las primeras filas:</w:t>
      </w:r>
    </w:p>
    <w:p>
      <w:pPr>
        <w:pStyle w:val="SourceCode"/>
      </w:pPr>
      <w:r>
        <w:rPr>
          <w:rStyle w:val="VerbatimChar"/>
        </w:rPr>
        <w:t xml:space="preserve">customer_id   region     zone_type    tenure_months   monthly_price   y_true   y_pred   y_score</w:t>
      </w:r>
      <w:r>
        <w:br/>
      </w:r>
      <w:r>
        <w:rPr>
          <w:rStyle w:val="VerbatimChar"/>
        </w:rPr>
        <w:t xml:space="preserve">CUST-00001    Madrid     urbana       33              57.94           0        0        0.327</w:t>
      </w:r>
      <w:r>
        <w:br/>
      </w:r>
      <w:r>
        <w:rPr>
          <w:rStyle w:val="VerbatimChar"/>
        </w:rPr>
        <w:t xml:space="preserve">CUST-00002    Madrid     urbana       68              38.99           0        0        0.070</w:t>
      </w:r>
      <w:r>
        <w:br/>
      </w:r>
      <w:r>
        <w:rPr>
          <w:rStyle w:val="VerbatimChar"/>
        </w:rPr>
        <w:t xml:space="preserve">CUST-00003    Zaragoza   rural        45              39.56           0        0        0.000</w:t>
      </w:r>
      <w:r>
        <w:br/>
      </w:r>
      <w:r>
        <w:rPr>
          <w:rStyle w:val="VerbatimChar"/>
        </w:rPr>
        <w:t xml:space="preserve">CUST-00004    Valencia   periurbana   77              41.27           1        0        0.093</w:t>
      </w:r>
      <w:r>
        <w:br/>
      </w:r>
      <w:r>
        <w:rPr>
          <w:rStyle w:val="VerbatimChar"/>
        </w:rPr>
        <w:t xml:space="preserve">CUST-00005    Bilbao     rural        31              55.88           0        0        0.341</w:t>
      </w:r>
    </w:p>
    <w:bookmarkEnd w:id="26"/>
    <w:bookmarkStart w:id="27" w:name="cómo-explicar-las-columnas"/>
    <w:p>
      <w:pPr>
        <w:pStyle w:val="Heading3"/>
      </w:pPr>
      <w:r>
        <w:t xml:space="preserve">Cómo explicar las columnas</w:t>
      </w:r>
    </w:p>
    <w:p>
      <w:pPr>
        <w:pStyle w:val="FirstParagraph"/>
      </w:pPr>
      <w:r>
        <w:rPr>
          <w:rStyle w:val="VerbatimChar"/>
        </w:rPr>
        <w:t xml:space="preserve">customer_id</w:t>
      </w:r>
      <w:r>
        <w:t xml:space="preserve"> </w:t>
      </w:r>
      <w:r>
        <w:t xml:space="preserve">identifica al cliente.</w:t>
      </w:r>
    </w:p>
    <w:p>
      <w:pPr>
        <w:pStyle w:val="BodyText"/>
      </w:pPr>
      <w:r>
        <w:rPr>
          <w:rStyle w:val="VerbatimChar"/>
        </w:rPr>
        <w:t xml:space="preserve">region</w:t>
      </w:r>
      <w:r>
        <w:t xml:space="preserve"> </w:t>
      </w:r>
      <w:r>
        <w:t xml:space="preserve">indica la región.</w:t>
      </w:r>
    </w:p>
    <w:p>
      <w:pPr>
        <w:pStyle w:val="BodyText"/>
      </w:pPr>
      <w:r>
        <w:rPr>
          <w:rStyle w:val="VerbatimChar"/>
        </w:rPr>
        <w:t xml:space="preserve">zone_type</w:t>
      </w:r>
      <w:r>
        <w:t xml:space="preserve"> </w:t>
      </w:r>
      <w:r>
        <w:t xml:space="preserve">indica el tipo de zona: urbana, rural o periurbana.</w:t>
      </w:r>
    </w:p>
    <w:p>
      <w:pPr>
        <w:pStyle w:val="BodyText"/>
      </w:pPr>
      <w:r>
        <w:rPr>
          <w:rStyle w:val="VerbatimChar"/>
        </w:rPr>
        <w:t xml:space="preserve">tenure_months</w:t>
      </w:r>
      <w:r>
        <w:t xml:space="preserve"> </w:t>
      </w:r>
      <w:r>
        <w:t xml:space="preserve">indica la antigüedad del cliente en meses.</w:t>
      </w:r>
    </w:p>
    <w:p>
      <w:pPr>
        <w:pStyle w:val="BodyText"/>
      </w:pPr>
      <w:r>
        <w:rPr>
          <w:rStyle w:val="VerbatimChar"/>
        </w:rPr>
        <w:t xml:space="preserve">monthly_price</w:t>
      </w:r>
      <w:r>
        <w:t xml:space="preserve"> </w:t>
      </w:r>
      <w:r>
        <w:t xml:space="preserve">indica el precio mensual.</w:t>
      </w:r>
    </w:p>
    <w:p>
      <w:pPr>
        <w:pStyle w:val="BodyText"/>
      </w:pPr>
      <w:r>
        <w:rPr>
          <w:rStyle w:val="VerbatimChar"/>
        </w:rPr>
        <w:t xml:space="preserve">y_true</w:t>
      </w:r>
      <w:r>
        <w:t xml:space="preserve"> </w:t>
      </w:r>
      <w:r>
        <w:t xml:space="preserve">es el valor real:</w:t>
      </w:r>
    </w:p>
    <w:p>
      <w:pPr>
        <w:pStyle w:val="Compact"/>
        <w:numPr>
          <w:ilvl w:val="0"/>
          <w:numId w:val="1004"/>
        </w:numPr>
      </w:pPr>
      <w:r>
        <w:rPr>
          <w:rStyle w:val="VerbatimChar"/>
        </w:rPr>
        <w:t xml:space="preserve">1</w:t>
      </w:r>
      <w:r>
        <w:t xml:space="preserve">: el cliente realmente abandona.</w:t>
      </w:r>
    </w:p>
    <w:p>
      <w:pPr>
        <w:pStyle w:val="Compact"/>
        <w:numPr>
          <w:ilvl w:val="0"/>
          <w:numId w:val="1004"/>
        </w:numPr>
      </w:pPr>
      <w:r>
        <w:rPr>
          <w:rStyle w:val="VerbatimChar"/>
        </w:rPr>
        <w:t xml:space="preserve">0</w:t>
      </w:r>
      <w:r>
        <w:t xml:space="preserve">: el cliente no abandona.</w:t>
      </w:r>
    </w:p>
    <w:p>
      <w:pPr>
        <w:pStyle w:val="FirstParagraph"/>
      </w:pPr>
      <w:r>
        <w:rPr>
          <w:rStyle w:val="VerbatimChar"/>
        </w:rPr>
        <w:t xml:space="preserve">y_pred</w:t>
      </w:r>
      <w:r>
        <w:t xml:space="preserve"> </w:t>
      </w:r>
      <w:r>
        <w:t xml:space="preserve">es la predicción del modelo:</w:t>
      </w:r>
    </w:p>
    <w:p>
      <w:pPr>
        <w:pStyle w:val="Compact"/>
        <w:numPr>
          <w:ilvl w:val="0"/>
          <w:numId w:val="1005"/>
        </w:numPr>
      </w:pPr>
      <w:r>
        <w:rPr>
          <w:rStyle w:val="VerbatimChar"/>
        </w:rPr>
        <w:t xml:space="preserve">1</w:t>
      </w:r>
      <w:r>
        <w:t xml:space="preserve">: el modelo predice abandono.</w:t>
      </w:r>
    </w:p>
    <w:p>
      <w:pPr>
        <w:pStyle w:val="Compact"/>
        <w:numPr>
          <w:ilvl w:val="0"/>
          <w:numId w:val="1005"/>
        </w:numPr>
      </w:pPr>
      <w:r>
        <w:rPr>
          <w:rStyle w:val="VerbatimChar"/>
        </w:rPr>
        <w:t xml:space="preserve">0</w:t>
      </w:r>
      <w:r>
        <w:t xml:space="preserve">: el modelo predice que no abandonará.</w:t>
      </w:r>
    </w:p>
    <w:p>
      <w:pPr>
        <w:pStyle w:val="FirstParagraph"/>
      </w:pPr>
      <w:r>
        <w:rPr>
          <w:rStyle w:val="VerbatimChar"/>
        </w:rPr>
        <w:t xml:space="preserve">y_score</w:t>
      </w:r>
      <w:r>
        <w:t xml:space="preserve"> </w:t>
      </w:r>
      <w:r>
        <w:t xml:space="preserve">es la puntuación o probabilidad estimada por el modelo.</w:t>
      </w:r>
    </w:p>
    <w:p>
      <w:pPr>
        <w:pStyle w:val="BodyText"/>
      </w:pPr>
      <w:r>
        <w:t xml:space="preserve">Guion para explicarlo:</w:t>
      </w:r>
    </w:p>
    <w:p>
      <w:pPr>
        <w:pStyle w:val="BlockText"/>
      </w:pPr>
      <w:r>
        <w:t xml:space="preserve">Esta tabla es la base de toda la auditoría. Tenemos lo que pasó realmente (</w:t>
      </w:r>
      <w:r>
        <w:rPr>
          <w:rStyle w:val="VerbatimChar"/>
        </w:rPr>
        <w:t xml:space="preserve">y_true</w:t>
      </w:r>
      <w:r>
        <w:t xml:space="preserve">) y lo que dijo el modelo (</w:t>
      </w:r>
      <w:r>
        <w:rPr>
          <w:rStyle w:val="VerbatimChar"/>
        </w:rPr>
        <w:t xml:space="preserve">y_pred</w:t>
      </w:r>
      <w:r>
        <w:t xml:space="preserve">). Si coinciden, el modelo acierta. Si no coinciden, el modelo se equivoca.</w:t>
      </w:r>
    </w:p>
    <w:p>
      <w:pPr>
        <w:pStyle w:val="FirstParagraph"/>
      </w:pPr>
      <w:r>
        <w:t xml:space="preserve">Ejemplo con la fila de Valencia:</w:t>
      </w:r>
    </w:p>
    <w:p>
      <w:pPr>
        <w:pStyle w:val="BlockText"/>
      </w:pPr>
      <w:r>
        <w:t xml:space="preserve">En el cliente</w:t>
      </w:r>
      <w:r>
        <w:t xml:space="preserve"> </w:t>
      </w:r>
      <w:r>
        <w:rPr>
          <w:rStyle w:val="VerbatimChar"/>
        </w:rPr>
        <w:t xml:space="preserve">CUST-00004</w:t>
      </w:r>
      <w:r>
        <w:t xml:space="preserve">,</w:t>
      </w:r>
      <w:r>
        <w:t xml:space="preserve"> </w:t>
      </w:r>
      <w:r>
        <w:rPr>
          <w:rStyle w:val="VerbatimChar"/>
        </w:rPr>
        <w:t xml:space="preserve">y_true = 1</w:t>
      </w:r>
      <w:r>
        <w:t xml:space="preserve"> </w:t>
      </w:r>
      <w:r>
        <w:t xml:space="preserve">y</w:t>
      </w:r>
      <w:r>
        <w:t xml:space="preserve"> </w:t>
      </w:r>
      <w:r>
        <w:rPr>
          <w:rStyle w:val="VerbatimChar"/>
        </w:rPr>
        <w:t xml:space="preserve">y_pred = 0</w:t>
      </w:r>
      <w:r>
        <w:t xml:space="preserve">. Eso significa que el cliente realmente abandonó, pero el modelo no lo detectó. Es un falso negativo.</w:t>
      </w:r>
    </w:p>
    <w:p>
      <w:r>
        <w:pict>
          <v:rect style="width:0;height:1.5pt" o:hralign="center" o:hrstd="t" o:hr="t"/>
        </w:pict>
      </w:r>
    </w:p>
    <w:bookmarkEnd w:id="27"/>
    <w:bookmarkEnd w:id="28"/>
    <w:bookmarkStart w:id="29" w:name="X71e48fd689305724b25d59b86ca171fc14e0bd7"/>
    <w:p>
      <w:pPr>
        <w:pStyle w:val="Heading2"/>
      </w:pPr>
      <w:r>
        <w:t xml:space="preserve">Celda 5. Parte B: rendimiento global y desagregado</w:t>
      </w:r>
    </w:p>
    <w:p>
      <w:pPr>
        <w:pStyle w:val="FirstParagraph"/>
      </w:pPr>
      <w:r>
        <w:t xml:space="preserve">Esta celda introduce el análisis de rendimiento:</w:t>
      </w:r>
    </w:p>
    <w:p>
      <w:pPr>
        <w:pStyle w:val="SourceCode"/>
      </w:pPr>
      <w:r>
        <w:rPr>
          <w:rStyle w:val="VerbatimChar"/>
        </w:rPr>
        <w:t xml:space="preserve">Parte B. Rendimiento global y desagregado</w:t>
      </w:r>
    </w:p>
    <w:p>
      <w:pPr>
        <w:pStyle w:val="FirstParagraph"/>
      </w:pPr>
      <w:r>
        <w:t xml:space="preserve">Guion:</w:t>
      </w:r>
    </w:p>
    <w:p>
      <w:pPr>
        <w:pStyle w:val="BlockText"/>
      </w:pPr>
      <w:r>
        <w:t xml:space="preserve">Primero vamos a calcular la accuracy global del modelo. Pero después vamos a desagregar esa accuracy por región y por tipo de zona.</w:t>
      </w:r>
    </w:p>
    <w:p>
      <w:pPr>
        <w:pStyle w:val="BlockText"/>
      </w:pPr>
      <w:r>
        <w:t xml:space="preserve">Esta es la idea clave de la auditoría: no quedarnos solo con la media global.</w:t>
      </w:r>
    </w:p>
    <w:p>
      <w:r>
        <w:pict>
          <v:rect style="width:0;height:1.5pt" o:hralign="center" o:hrstd="t" o:hr="t"/>
        </w:pict>
      </w:r>
    </w:p>
    <w:bookmarkEnd w:id="29"/>
    <w:bookmarkStart w:id="34" w:name="X1142697f49c21ad3d835b80e98a53b97b34d023"/>
    <w:p>
      <w:pPr>
        <w:pStyle w:val="Heading2"/>
      </w:pPr>
      <w:r>
        <w:t xml:space="preserve">Celda 6. Accuracy global, por región y por tipo de zona</w:t>
      </w:r>
    </w:p>
    <w:p>
      <w:pPr>
        <w:pStyle w:val="FirstParagraph"/>
      </w:pPr>
      <w:r>
        <w:t xml:space="preserve">La celda calcula la accuracy global:</w:t>
      </w:r>
    </w:p>
    <w:p>
      <w:pPr>
        <w:pStyle w:val="SourceCode"/>
      </w:pPr>
      <w:r>
        <w:rPr>
          <w:rStyle w:val="NormalTok"/>
        </w:rPr>
        <w:t xml:space="preserve">accuracy_global </w:t>
      </w:r>
      <w:r>
        <w:rPr>
          <w:rStyle w:val="OperatorTok"/>
        </w:rPr>
        <w:t xml:space="preserve">=</w:t>
      </w:r>
      <w:r>
        <w:rPr>
          <w:rStyle w:val="NormalTok"/>
        </w:rPr>
        <w:t xml:space="preserve"> (df[</w:t>
      </w:r>
      <w:r>
        <w:rPr>
          <w:rStyle w:val="StringTok"/>
        </w:rPr>
        <w:t xml:space="preserve">'y_true'</w:t>
      </w:r>
      <w:r>
        <w:rPr>
          <w:rStyle w:val="NormalTok"/>
        </w:rPr>
        <w:t xml:space="preserve">] </w:t>
      </w:r>
      <w:r>
        <w:rPr>
          <w:rStyle w:val="OperatorTok"/>
        </w:rPr>
        <w:t xml:space="preserve">==</w:t>
      </w:r>
      <w:r>
        <w:rPr>
          <w:rStyle w:val="NormalTok"/>
        </w:rPr>
        <w:t xml:space="preserve"> df[</w:t>
      </w:r>
      <w:r>
        <w:rPr>
          <w:rStyle w:val="StringTok"/>
        </w:rPr>
        <w:t xml:space="preserve">'y_pred'</w:t>
      </w:r>
      <w:r>
        <w:rPr>
          <w:rStyle w:val="NormalTok"/>
        </w:rPr>
        <w:t xml:space="preserve">]).mean()</w:t>
      </w:r>
      <w:r>
        <w:br/>
      </w:r>
      <w:r>
        <w:rPr>
          <w:rStyle w:val="BuiltInTok"/>
        </w:rPr>
        <w:t xml:space="preserve">print</w:t>
      </w:r>
      <w:r>
        <w:rPr>
          <w:rStyle w:val="NormalTok"/>
        </w:rPr>
        <w:t xml:space="preserve">(</w:t>
      </w:r>
      <w:r>
        <w:rPr>
          <w:rStyle w:val="SpecialStringTok"/>
        </w:rPr>
        <w:t xml:space="preserve">f'Accuracy global: </w:t>
      </w:r>
      <w:r>
        <w:rPr>
          <w:rStyle w:val="SpecialCharTok"/>
        </w:rPr>
        <w:t xml:space="preserve">{</w:t>
      </w:r>
      <w:r>
        <w:rPr>
          <w:rStyle w:val="NormalTok"/>
        </w:rPr>
        <w:t xml:space="preserve">accuracy_global</w:t>
      </w:r>
      <w:r>
        <w:rPr>
          <w:rStyle w:val="SpecialCharTok"/>
        </w:rPr>
        <w:t xml:space="preserve">:.3f}</w:t>
      </w:r>
      <w:r>
        <w:rPr>
          <w:rStyle w:val="SpecialStringTok"/>
        </w:rPr>
        <w:t xml:space="preserve">'</w:t>
      </w:r>
      <w:r>
        <w:rPr>
          <w:rStyle w:val="NormalTok"/>
        </w:rPr>
        <w:t xml:space="preserve">)</w:t>
      </w:r>
    </w:p>
    <w:bookmarkStart w:id="30" w:name="resultado-global"/>
    <w:p>
      <w:pPr>
        <w:pStyle w:val="Heading3"/>
      </w:pPr>
      <w:r>
        <w:t xml:space="preserve">Resultado global</w:t>
      </w:r>
    </w:p>
    <w:p>
      <w:pPr>
        <w:pStyle w:val="SourceCode"/>
      </w:pPr>
      <w:r>
        <w:rPr>
          <w:rStyle w:val="VerbatimChar"/>
        </w:rPr>
        <w:t xml:space="preserve">Accuracy global: 0.644</w:t>
      </w:r>
    </w:p>
    <w:p>
      <w:pPr>
        <w:pStyle w:val="FirstParagraph"/>
      </w:pPr>
      <w:r>
        <w:t xml:space="preserve">Explicación:</w:t>
      </w:r>
    </w:p>
    <w:p>
      <w:pPr>
        <w:pStyle w:val="BlockText"/>
      </w:pPr>
      <w:r>
        <w:t xml:space="preserve">El modelo acierta aproximadamente el 64,4 % de las predicciones. No es un resultado especialmente alto, pero lo más importante es comprobar si ese rendimiento está repartido de forma equilibrada.</w:t>
      </w:r>
    </w:p>
    <w:p>
      <w:pPr>
        <w:pStyle w:val="FirstParagraph"/>
      </w:pPr>
      <w:r>
        <w:t xml:space="preserve">Después calcula la accuracy por región.</w:t>
      </w:r>
    </w:p>
    <w:bookmarkEnd w:id="30"/>
    <w:bookmarkStart w:id="31" w:name="resultado-por-región"/>
    <w:p>
      <w:pPr>
        <w:pStyle w:val="Heading3"/>
      </w:pPr>
      <w:r>
        <w:t xml:space="preserve">Resultado por región</w:t>
      </w:r>
    </w:p>
    <w:p>
      <w:pPr>
        <w:pStyle w:val="SourceCode"/>
      </w:pPr>
      <w:r>
        <w:rPr>
          <w:rStyle w:val="VerbatimChar"/>
        </w:rPr>
        <w:t xml:space="preserve">region       accuracy</w:t>
      </w:r>
      <w:r>
        <w:br/>
      </w:r>
      <w:r>
        <w:rPr>
          <w:rStyle w:val="VerbatimChar"/>
        </w:rPr>
        <w:t xml:space="preserve">Zaragoza     0.580</w:t>
      </w:r>
      <w:r>
        <w:br/>
      </w:r>
      <w:r>
        <w:rPr>
          <w:rStyle w:val="VerbatimChar"/>
        </w:rPr>
        <w:t xml:space="preserve">Bilbao       0.609</w:t>
      </w:r>
      <w:r>
        <w:br/>
      </w:r>
      <w:r>
        <w:rPr>
          <w:rStyle w:val="VerbatimChar"/>
        </w:rPr>
        <w:t xml:space="preserve">Sevilla      0.626</w:t>
      </w:r>
      <w:r>
        <w:br/>
      </w:r>
      <w:r>
        <w:rPr>
          <w:rStyle w:val="VerbatimChar"/>
        </w:rPr>
        <w:t xml:space="preserve">Valencia     0.654</w:t>
      </w:r>
      <w:r>
        <w:br/>
      </w:r>
      <w:r>
        <w:rPr>
          <w:rStyle w:val="VerbatimChar"/>
        </w:rPr>
        <w:t xml:space="preserve">Barcelona    0.665</w:t>
      </w:r>
      <w:r>
        <w:br/>
      </w:r>
      <w:r>
        <w:rPr>
          <w:rStyle w:val="VerbatimChar"/>
        </w:rPr>
        <w:t xml:space="preserve">Madrid       0.706</w:t>
      </w:r>
    </w:p>
    <w:p>
      <w:pPr>
        <w:pStyle w:val="FirstParagraph"/>
      </w:pPr>
      <w:r>
        <w:t xml:space="preserve">Guion para explicarlo:</w:t>
      </w:r>
    </w:p>
    <w:p>
      <w:pPr>
        <w:pStyle w:val="BlockText"/>
      </w:pPr>
      <w:r>
        <w:t xml:space="preserve">Aquí vemos que el modelo no funciona igual en todas las regiones. En Madrid alcanza una accuracy de 0,706, mientras que en Zaragoza baja a 0,580.</w:t>
      </w:r>
    </w:p>
    <w:p>
      <w:pPr>
        <w:pStyle w:val="BlockText"/>
      </w:pPr>
      <w:r>
        <w:t xml:space="preserve">Esto significa que el modelo acierta bastante más en Madrid que en Zaragoza. Esa diferencia ya es una señal de alerta para la auditoría.</w:t>
      </w:r>
    </w:p>
    <w:p>
      <w:pPr>
        <w:pStyle w:val="FirstParagraph"/>
      </w:pPr>
      <w:r>
        <w:t xml:space="preserve">Después calcula la accuracy por tipo de zona.</w:t>
      </w:r>
    </w:p>
    <w:bookmarkEnd w:id="31"/>
    <w:bookmarkStart w:id="32" w:name="resultado-por-tipo-de-zona"/>
    <w:p>
      <w:pPr>
        <w:pStyle w:val="Heading3"/>
      </w:pPr>
      <w:r>
        <w:t xml:space="preserve">Resultado por tipo de zona</w:t>
      </w:r>
    </w:p>
    <w:p>
      <w:pPr>
        <w:pStyle w:val="SourceCode"/>
      </w:pPr>
      <w:r>
        <w:rPr>
          <w:rStyle w:val="VerbatimChar"/>
        </w:rPr>
        <w:t xml:space="preserve">zone_type     accuracy</w:t>
      </w:r>
      <w:r>
        <w:br/>
      </w:r>
      <w:r>
        <w:rPr>
          <w:rStyle w:val="VerbatimChar"/>
        </w:rPr>
        <w:t xml:space="preserve">rural         0.593</w:t>
      </w:r>
      <w:r>
        <w:br/>
      </w:r>
      <w:r>
        <w:rPr>
          <w:rStyle w:val="VerbatimChar"/>
        </w:rPr>
        <w:t xml:space="preserve">periurbana    0.642</w:t>
      </w:r>
      <w:r>
        <w:br/>
      </w:r>
      <w:r>
        <w:rPr>
          <w:rStyle w:val="VerbatimChar"/>
        </w:rPr>
        <w:t xml:space="preserve">urbana        0.686</w:t>
      </w:r>
    </w:p>
    <w:p>
      <w:pPr>
        <w:pStyle w:val="FirstParagraph"/>
      </w:pPr>
      <w:r>
        <w:t xml:space="preserve">Guion:</w:t>
      </w:r>
    </w:p>
    <w:p>
      <w:pPr>
        <w:pStyle w:val="BlockText"/>
      </w:pPr>
      <w:r>
        <w:t xml:space="preserve">También vemos diferencias por tipo de zona. El modelo funciona mejor en zonas urbanas, con una accuracy de 0,686, y peor en zonas rurales, con una accuracy de 0,593.</w:t>
      </w:r>
    </w:p>
    <w:p>
      <w:pPr>
        <w:pStyle w:val="BlockText"/>
      </w:pPr>
      <w:r>
        <w:t xml:space="preserve">Esto puede indicar que el modelo representa mejor a clientes urbanos que a clientes rurales.</w:t>
      </w:r>
    </w:p>
    <w:p>
      <w:pPr>
        <w:pStyle w:val="FirstParagraph"/>
      </w:pPr>
      <w:r>
        <w:t xml:space="preserve">La celda guarda dos ficheros:</w:t>
      </w:r>
    </w:p>
    <w:p>
      <w:pPr>
        <w:pStyle w:val="SourceCode"/>
      </w:pPr>
      <w:r>
        <w:rPr>
          <w:rStyle w:val="VerbatimChar"/>
        </w:rPr>
        <w:t xml:space="preserve">outputs/lab10_accuracy_region.csv</w:t>
      </w:r>
      <w:r>
        <w:br/>
      </w:r>
      <w:r>
        <w:rPr>
          <w:rStyle w:val="VerbatimChar"/>
        </w:rPr>
        <w:t xml:space="preserve">outputs/lab10_accuracy_zone_type.csv</w:t>
      </w:r>
    </w:p>
    <w:bookmarkEnd w:id="32"/>
    <w:bookmarkStart w:id="33" w:name="aviso-que-aparece"/>
    <w:p>
      <w:pPr>
        <w:pStyle w:val="Heading3"/>
      </w:pPr>
      <w:r>
        <w:t xml:space="preserve">Aviso que aparece</w:t>
      </w:r>
    </w:p>
    <w:p>
      <w:pPr>
        <w:pStyle w:val="FirstParagraph"/>
      </w:pPr>
      <w:r>
        <w:t xml:space="preserve">También aparece un</w:t>
      </w:r>
      <w:r>
        <w:t xml:space="preserve"> </w:t>
      </w:r>
      <w:r>
        <w:rPr>
          <w:rStyle w:val="VerbatimChar"/>
        </w:rPr>
        <w:t xml:space="preserve">FutureWarning</w:t>
      </w:r>
      <w:r>
        <w:t xml:space="preserve"> </w:t>
      </w:r>
      <w:r>
        <w:t xml:space="preserve">de pandas.</w:t>
      </w:r>
    </w:p>
    <w:p>
      <w:pPr>
        <w:pStyle w:val="BodyText"/>
      </w:pPr>
      <w:r>
        <w:t xml:space="preserve">Guion para explicarlo:</w:t>
      </w:r>
    </w:p>
    <w:p>
      <w:pPr>
        <w:pStyle w:val="BlockText"/>
      </w:pPr>
      <w:r>
        <w:t xml:space="preserve">Este aviso no afecta al resultado del laboratorio. Es una advertencia de pandas sobre cómo funcionará</w:t>
      </w:r>
      <w:r>
        <w:t xml:space="preserve"> </w:t>
      </w:r>
      <w:r>
        <w:rPr>
          <w:rStyle w:val="VerbatimChar"/>
        </w:rPr>
        <w:t xml:space="preserve">groupby().apply()</w:t>
      </w:r>
      <w:r>
        <w:t xml:space="preserve"> </w:t>
      </w:r>
      <w:r>
        <w:t xml:space="preserve">en futuras versiones. Para los alumnos noveles, basta con saber que no es un error del modelo ni del análisis.</w:t>
      </w:r>
    </w:p>
    <w:p>
      <w:r>
        <w:pict>
          <v:rect style="width:0;height:1.5pt" o:hralign="center" o:hrstd="t" o:hr="t"/>
        </w:pict>
      </w:r>
    </w:p>
    <w:bookmarkEnd w:id="33"/>
    <w:bookmarkEnd w:id="34"/>
    <w:bookmarkStart w:id="36" w:name="celda-7.-gráfico-de-accuracy-por-región"/>
    <w:p>
      <w:pPr>
        <w:pStyle w:val="Heading2"/>
      </w:pPr>
      <w:r>
        <w:t xml:space="preserve">Celda 7. Gráfico de accuracy por región</w:t>
      </w:r>
    </w:p>
    <w:p>
      <w:pPr>
        <w:pStyle w:val="FirstParagraph"/>
      </w:pPr>
      <w:r>
        <w:t xml:space="preserve">Esta celda genera un gráfico de barras:</w:t>
      </w:r>
    </w:p>
    <w:p>
      <w:pPr>
        <w:pStyle w:val="SourceCode"/>
      </w:pPr>
      <w:r>
        <w:rPr>
          <w:rStyle w:val="NormalTok"/>
        </w:rPr>
        <w:t xml:space="preserve">plt.figure(figsize</w:t>
      </w:r>
      <w:r>
        <w:rPr>
          <w:rStyle w:val="OperatorTok"/>
        </w:rPr>
        <w:t xml:space="preserve">=</w:t>
      </w:r>
      <w:r>
        <w:rPr>
          <w:rStyle w:val="NormalTok"/>
        </w:rPr>
        <w:t xml:space="preserve">(</w:t>
      </w:r>
      <w:r>
        <w:rPr>
          <w:rStyle w:val="DecValTok"/>
        </w:rPr>
        <w:t xml:space="preserve">8</w:t>
      </w:r>
      <w:r>
        <w:rPr>
          <w:rStyle w:val="NormalTok"/>
        </w:rPr>
        <w:t xml:space="preserve">,</w:t>
      </w:r>
      <w:r>
        <w:rPr>
          <w:rStyle w:val="DecValTok"/>
        </w:rPr>
        <w:t xml:space="preserve">5</w:t>
      </w:r>
      <w:r>
        <w:rPr>
          <w:rStyle w:val="NormalTok"/>
        </w:rPr>
        <w:t xml:space="preserve">))</w:t>
      </w:r>
      <w:r>
        <w:br/>
      </w:r>
      <w:r>
        <w:rPr>
          <w:rStyle w:val="NormalTok"/>
        </w:rPr>
        <w:t xml:space="preserve">acc_region.sort_values().plot(kind</w:t>
      </w:r>
      <w:r>
        <w:rPr>
          <w:rStyle w:val="OperatorTok"/>
        </w:rPr>
        <w:t xml:space="preserve">=</w:t>
      </w:r>
      <w:r>
        <w:rPr>
          <w:rStyle w:val="StringTok"/>
        </w:rPr>
        <w:t xml:space="preserve">'bar'</w:t>
      </w:r>
      <w:r>
        <w:rPr>
          <w:rStyle w:val="NormalTok"/>
        </w:rPr>
        <w:t xml:space="preserve">)</w:t>
      </w:r>
      <w:r>
        <w:br/>
      </w:r>
      <w:r>
        <w:rPr>
          <w:rStyle w:val="NormalTok"/>
        </w:rPr>
        <w:t xml:space="preserve">plt.ylim(</w:t>
      </w:r>
      <w:r>
        <w:rPr>
          <w:rStyle w:val="DecValTok"/>
        </w:rPr>
        <w:t xml:space="preserve">0</w:t>
      </w:r>
      <w:r>
        <w:rPr>
          <w:rStyle w:val="NormalTok"/>
        </w:rPr>
        <w:t xml:space="preserve">,</w:t>
      </w:r>
      <w:r>
        <w:rPr>
          <w:rStyle w:val="DecValTok"/>
        </w:rPr>
        <w:t xml:space="preserve">1</w:t>
      </w:r>
      <w:r>
        <w:rPr>
          <w:rStyle w:val="NormalTok"/>
        </w:rPr>
        <w:t xml:space="preserve">)</w:t>
      </w:r>
      <w:r>
        <w:br/>
      </w:r>
      <w:r>
        <w:rPr>
          <w:rStyle w:val="NormalTok"/>
        </w:rPr>
        <w:t xml:space="preserve">plt.ylabel(</w:t>
      </w:r>
      <w:r>
        <w:rPr>
          <w:rStyle w:val="StringTok"/>
        </w:rPr>
        <w:t xml:space="preserve">'accuracy'</w:t>
      </w:r>
      <w:r>
        <w:rPr>
          <w:rStyle w:val="NormalTok"/>
        </w:rPr>
        <w:t xml:space="preserve">)</w:t>
      </w:r>
      <w:r>
        <w:br/>
      </w:r>
      <w:r>
        <w:rPr>
          <w:rStyle w:val="NormalTok"/>
        </w:rPr>
        <w:t xml:space="preserve">plt.title(</w:t>
      </w:r>
      <w:r>
        <w:rPr>
          <w:rStyle w:val="StringTok"/>
        </w:rPr>
        <w:t xml:space="preserve">'Accuracy por región'</w:t>
      </w:r>
      <w:r>
        <w:rPr>
          <w:rStyle w:val="NormalTok"/>
        </w:rPr>
        <w:t xml:space="preserve">)</w:t>
      </w:r>
      <w:r>
        <w:br/>
      </w:r>
      <w:r>
        <w:rPr>
          <w:rStyle w:val="NormalTok"/>
        </w:rPr>
        <w:t xml:space="preserve">plt.tight_layout()</w:t>
      </w:r>
      <w:r>
        <w:br/>
      </w:r>
      <w:r>
        <w:rPr>
          <w:rStyle w:val="NormalTok"/>
        </w:rPr>
        <w:t xml:space="preserve">plt.savefig(OUTPUT_DIR</w:t>
      </w:r>
      <w:r>
        <w:rPr>
          <w:rStyle w:val="OperatorTok"/>
        </w:rPr>
        <w:t xml:space="preserve">/</w:t>
      </w:r>
      <w:r>
        <w:rPr>
          <w:rStyle w:val="StringTok"/>
        </w:rPr>
        <w:t xml:space="preserve">'lab10_accuracy_por_region.png'</w:t>
      </w:r>
      <w:r>
        <w:rPr>
          <w:rStyle w:val="NormalTok"/>
        </w:rPr>
        <w:t xml:space="preserve">, dpi</w:t>
      </w:r>
      <w:r>
        <w:rPr>
          <w:rStyle w:val="OperatorTok"/>
        </w:rPr>
        <w:t xml:space="preserve">=</w:t>
      </w:r>
      <w:r>
        <w:rPr>
          <w:rStyle w:val="DecValTok"/>
        </w:rPr>
        <w:t xml:space="preserve">150</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NormalTok"/>
        </w:rPr>
        <w:t xml:space="preserve">plt.show()</w:t>
      </w:r>
    </w:p>
    <w:bookmarkStart w:id="35" w:name="resultado-que-aparece-2"/>
    <w:p>
      <w:pPr>
        <w:pStyle w:val="Heading3"/>
      </w:pPr>
      <w:r>
        <w:t xml:space="preserve">Resultado que aparece</w:t>
      </w:r>
    </w:p>
    <w:p>
      <w:pPr>
        <w:pStyle w:val="FirstParagraph"/>
      </w:pPr>
      <w:r>
        <w:t xml:space="preserve">Aparece un gráfico titulado:</w:t>
      </w:r>
    </w:p>
    <w:p>
      <w:pPr>
        <w:pStyle w:val="SourceCode"/>
      </w:pPr>
      <w:r>
        <w:rPr>
          <w:rStyle w:val="VerbatimChar"/>
        </w:rPr>
        <w:t xml:space="preserve">Accuracy por región</w:t>
      </w:r>
    </w:p>
    <w:p>
      <w:pPr>
        <w:pStyle w:val="FirstParagraph"/>
      </w:pPr>
      <w:r>
        <w:t xml:space="preserve">El gráfico muestra las regiones en el eje horizontal y la accuracy en el eje vertical.</w:t>
      </w:r>
    </w:p>
    <w:p>
      <w:pPr>
        <w:pStyle w:val="BodyText"/>
      </w:pPr>
      <w:r>
        <w:t xml:space="preserve">También se guarda la imagen:</w:t>
      </w:r>
    </w:p>
    <w:p>
      <w:pPr>
        <w:pStyle w:val="SourceCode"/>
      </w:pPr>
      <w:r>
        <w:rPr>
          <w:rStyle w:val="VerbatimChar"/>
        </w:rPr>
        <w:t xml:space="preserve">outputs/lab10_accuracy_por_region.png</w:t>
      </w:r>
    </w:p>
    <w:p>
      <w:pPr>
        <w:pStyle w:val="FirstParagraph"/>
      </w:pPr>
      <w:r>
        <w:t xml:space="preserve">Guion para explicarlo:</w:t>
      </w:r>
    </w:p>
    <w:p>
      <w:pPr>
        <w:pStyle w:val="BlockText"/>
      </w:pPr>
      <w:r>
        <w:t xml:space="preserve">Este gráfico permite visualizar rápidamente las diferencias entre regiones.</w:t>
      </w:r>
    </w:p>
    <w:p>
      <w:pPr>
        <w:pStyle w:val="BlockText"/>
      </w:pPr>
      <w:r>
        <w:t xml:space="preserve">Las regiones con barras más bajas son aquellas donde el modelo acierta menos. En este caso, Zaragoza y Bilbao aparecen como zonas más débiles que Madrid o Barcelona.</w:t>
      </w:r>
    </w:p>
    <w:p>
      <w:pPr>
        <w:pStyle w:val="FirstParagraph"/>
      </w:pPr>
      <w:r>
        <w:t xml:space="preserve">Mensaje didáctico:</w:t>
      </w:r>
    </w:p>
    <w:p>
      <w:pPr>
        <w:pStyle w:val="BlockText"/>
      </w:pPr>
      <w:r>
        <w:t xml:space="preserve">Un gráfico ayuda a ver diferencias que en una tabla pueden pasar más desapercibidas.</w:t>
      </w:r>
    </w:p>
    <w:p>
      <w:r>
        <w:pict>
          <v:rect style="width:0;height:1.5pt" o:hralign="center" o:hrstd="t" o:hr="t"/>
        </w:pict>
      </w:r>
    </w:p>
    <w:bookmarkEnd w:id="35"/>
    <w:bookmarkEnd w:id="36"/>
    <w:bookmarkStart w:id="37" w:name="celda-8.-parte-c-disparidad-en-errores"/>
    <w:p>
      <w:pPr>
        <w:pStyle w:val="Heading2"/>
      </w:pPr>
      <w:r>
        <w:t xml:space="preserve">Celda 8. Parte C: disparidad en errores</w:t>
      </w:r>
    </w:p>
    <w:p>
      <w:pPr>
        <w:pStyle w:val="FirstParagraph"/>
      </w:pPr>
      <w:r>
        <w:t xml:space="preserve">Esta celda introduce el análisis de errores:</w:t>
      </w:r>
    </w:p>
    <w:p>
      <w:pPr>
        <w:pStyle w:val="SourceCode"/>
      </w:pPr>
      <w:r>
        <w:rPr>
          <w:rStyle w:val="VerbatimChar"/>
        </w:rPr>
        <w:t xml:space="preserve">Parte C. Disparidad en errores</w:t>
      </w:r>
    </w:p>
    <w:p>
      <w:pPr>
        <w:pStyle w:val="FirstParagraph"/>
      </w:pPr>
      <w:r>
        <w:t xml:space="preserve">Guion:</w:t>
      </w:r>
    </w:p>
    <w:p>
      <w:pPr>
        <w:pStyle w:val="BlockText"/>
      </w:pPr>
      <w:r>
        <w:t xml:space="preserve">Ahora vamos a ir más allá de la accuracy. No basta con saber si el modelo acierta o falla. Tenemos que saber qué tipo de errores comete.</w:t>
      </w:r>
    </w:p>
    <w:p>
      <w:pPr>
        <w:pStyle w:val="BlockText"/>
      </w:pPr>
      <w:r>
        <w:t xml:space="preserve">En un modelo de churn, un falso negativo puede ser especialmente grave, porque significa que un cliente se va a marchar y el modelo no lo detecta.</w:t>
      </w:r>
    </w:p>
    <w:p>
      <w:r>
        <w:pict>
          <v:rect style="width:0;height:1.5pt" o:hralign="center" o:hrstd="t" o:hr="t"/>
        </w:pict>
      </w:r>
    </w:p>
    <w:bookmarkEnd w:id="37"/>
    <w:bookmarkStart w:id="40" w:name="celda-9.-métricas-de-error-por-región"/>
    <w:p>
      <w:pPr>
        <w:pStyle w:val="Heading2"/>
      </w:pPr>
      <w:r>
        <w:t xml:space="preserve">Celda 9. Métricas de error por región</w:t>
      </w:r>
    </w:p>
    <w:p>
      <w:pPr>
        <w:pStyle w:val="FirstParagraph"/>
      </w:pPr>
      <w:r>
        <w:t xml:space="preserve">La celda define una función:</w:t>
      </w:r>
    </w:p>
    <w:p>
      <w:pPr>
        <w:pStyle w:val="SourceCode"/>
      </w:pPr>
      <w:r>
        <w:rPr>
          <w:rStyle w:val="KeywordTok"/>
        </w:rPr>
        <w:t xml:space="preserve">def</w:t>
      </w:r>
      <w:r>
        <w:rPr>
          <w:rStyle w:val="NormalTok"/>
        </w:rPr>
        <w:t xml:space="preserve"> metricas_grupo(g):</w:t>
      </w:r>
    </w:p>
    <w:p>
      <w:pPr>
        <w:pStyle w:val="FirstParagraph"/>
      </w:pPr>
      <w:r>
        <w:t xml:space="preserve">Esta función calcula:</w:t>
      </w:r>
    </w:p>
    <w:p>
      <w:pPr>
        <w:pStyle w:val="Compact"/>
        <w:numPr>
          <w:ilvl w:val="0"/>
          <w:numId w:val="1006"/>
        </w:numPr>
      </w:pPr>
      <w:r>
        <w:t xml:space="preserve">TP.</w:t>
      </w:r>
    </w:p>
    <w:p>
      <w:pPr>
        <w:pStyle w:val="Compact"/>
        <w:numPr>
          <w:ilvl w:val="0"/>
          <w:numId w:val="1006"/>
        </w:numPr>
      </w:pPr>
      <w:r>
        <w:t xml:space="preserve">TN.</w:t>
      </w:r>
    </w:p>
    <w:p>
      <w:pPr>
        <w:pStyle w:val="Compact"/>
        <w:numPr>
          <w:ilvl w:val="0"/>
          <w:numId w:val="1006"/>
        </w:numPr>
      </w:pPr>
      <w:r>
        <w:t xml:space="preserve">FP.</w:t>
      </w:r>
    </w:p>
    <w:p>
      <w:pPr>
        <w:pStyle w:val="Compact"/>
        <w:numPr>
          <w:ilvl w:val="0"/>
          <w:numId w:val="1006"/>
        </w:numPr>
      </w:pPr>
      <w:r>
        <w:t xml:space="preserve">FN.</w:t>
      </w:r>
    </w:p>
    <w:p>
      <w:pPr>
        <w:pStyle w:val="Compact"/>
        <w:numPr>
          <w:ilvl w:val="0"/>
          <w:numId w:val="1006"/>
        </w:numPr>
      </w:pPr>
      <w:r>
        <w:t xml:space="preserve">Precision.</w:t>
      </w:r>
    </w:p>
    <w:p>
      <w:pPr>
        <w:pStyle w:val="Compact"/>
        <w:numPr>
          <w:ilvl w:val="0"/>
          <w:numId w:val="1006"/>
        </w:numPr>
      </w:pPr>
      <w:r>
        <w:t xml:space="preserve">Recall.</w:t>
      </w:r>
    </w:p>
    <w:p>
      <w:pPr>
        <w:pStyle w:val="Compact"/>
        <w:numPr>
          <w:ilvl w:val="0"/>
          <w:numId w:val="1006"/>
        </w:numPr>
      </w:pPr>
      <w:r>
        <w:t xml:space="preserve">FPR.</w:t>
      </w:r>
    </w:p>
    <w:bookmarkStart w:id="38" w:name="explicación-sencilla-de-cada-métrica"/>
    <w:p>
      <w:pPr>
        <w:pStyle w:val="Heading3"/>
      </w:pPr>
      <w:r>
        <w:t xml:space="preserve">Explicación sencilla de cada métrica</w:t>
      </w:r>
    </w:p>
    <w:p>
      <w:pPr>
        <w:pStyle w:val="FirstParagraph"/>
      </w:pPr>
      <w:r>
        <w:rPr>
          <w:b/>
          <w:bCs/>
        </w:rPr>
        <w:t xml:space="preserve">TP, verdadero positivo</w:t>
      </w:r>
    </w:p>
    <w:p>
      <w:pPr>
        <w:pStyle w:val="BlockText"/>
      </w:pPr>
      <w:r>
        <w:t xml:space="preserve">El cliente realmente abandona y el modelo predice que abandona.</w:t>
      </w:r>
    </w:p>
    <w:p>
      <w:pPr>
        <w:pStyle w:val="FirstParagraph"/>
      </w:pPr>
      <w:r>
        <w:rPr>
          <w:b/>
          <w:bCs/>
        </w:rPr>
        <w:t xml:space="preserve">TN, verdadero negativo</w:t>
      </w:r>
    </w:p>
    <w:p>
      <w:pPr>
        <w:pStyle w:val="BlockText"/>
      </w:pPr>
      <w:r>
        <w:t xml:space="preserve">El cliente no abandona y el modelo predice que no abandona.</w:t>
      </w:r>
    </w:p>
    <w:p>
      <w:pPr>
        <w:pStyle w:val="FirstParagraph"/>
      </w:pPr>
      <w:r>
        <w:rPr>
          <w:b/>
          <w:bCs/>
        </w:rPr>
        <w:t xml:space="preserve">FP, falso positivo</w:t>
      </w:r>
    </w:p>
    <w:p>
      <w:pPr>
        <w:pStyle w:val="BlockText"/>
      </w:pPr>
      <w:r>
        <w:t xml:space="preserve">El cliente no iba a abandonar, pero el modelo predice que sí.</w:t>
      </w:r>
    </w:p>
    <w:p>
      <w:pPr>
        <w:pStyle w:val="FirstParagraph"/>
      </w:pPr>
      <w:r>
        <w:t xml:space="preserve">En negocio telco, esto puede significar dedicar una oferta o acción comercial a un cliente que no la necesitaba.</w:t>
      </w:r>
    </w:p>
    <w:p>
      <w:pPr>
        <w:pStyle w:val="BodyText"/>
      </w:pPr>
      <w:r>
        <w:rPr>
          <w:b/>
          <w:bCs/>
        </w:rPr>
        <w:t xml:space="preserve">FN, falso negativo</w:t>
      </w:r>
    </w:p>
    <w:p>
      <w:pPr>
        <w:pStyle w:val="BlockText"/>
      </w:pPr>
      <w:r>
        <w:t xml:space="preserve">El cliente sí abandona, pero el modelo predice que no.</w:t>
      </w:r>
    </w:p>
    <w:p>
      <w:pPr>
        <w:pStyle w:val="FirstParagraph"/>
      </w:pPr>
      <w:r>
        <w:t xml:space="preserve">En negocio telco, este error puede ser grave porque la empresa no actúa para retenerlo.</w:t>
      </w:r>
    </w:p>
    <w:p>
      <w:pPr>
        <w:pStyle w:val="BodyText"/>
      </w:pPr>
      <w:r>
        <w:rPr>
          <w:b/>
          <w:bCs/>
        </w:rPr>
        <w:t xml:space="preserve">Precision</w:t>
      </w:r>
    </w:p>
    <w:p>
      <w:pPr>
        <w:pStyle w:val="BlockText"/>
      </w:pPr>
      <w:r>
        <w:t xml:space="preserve">De todos los clientes que el modelo marcó como riesgo de abandono, cuántos realmente abandonaron.</w:t>
      </w:r>
    </w:p>
    <w:p>
      <w:pPr>
        <w:pStyle w:val="FirstParagraph"/>
      </w:pPr>
      <w:r>
        <w:rPr>
          <w:b/>
          <w:bCs/>
        </w:rPr>
        <w:t xml:space="preserve">Recall</w:t>
      </w:r>
    </w:p>
    <w:p>
      <w:pPr>
        <w:pStyle w:val="BlockText"/>
      </w:pPr>
      <w:r>
        <w:t xml:space="preserve">De todos los clientes que realmente abandonaron, cuántos detectó el modelo.</w:t>
      </w:r>
    </w:p>
    <w:p>
      <w:pPr>
        <w:pStyle w:val="FirstParagraph"/>
      </w:pPr>
      <w:r>
        <w:rPr>
          <w:b/>
          <w:bCs/>
        </w:rPr>
        <w:t xml:space="preserve">FPR</w:t>
      </w:r>
    </w:p>
    <w:p>
      <w:pPr>
        <w:pStyle w:val="BlockText"/>
      </w:pPr>
      <w:r>
        <w:t xml:space="preserve">De todos los clientes que realmente no abandonaron, cuántos fueron marcados erróneamente como riesgo.</w:t>
      </w:r>
    </w:p>
    <w:bookmarkEnd w:id="38"/>
    <w:bookmarkStart w:id="39" w:name="resultado-que-aparece-3"/>
    <w:p>
      <w:pPr>
        <w:pStyle w:val="Heading3"/>
      </w:pPr>
      <w:r>
        <w:t xml:space="preserve">Resultado que aparece</w:t>
      </w:r>
    </w:p>
    <w:p>
      <w:pPr>
        <w:pStyle w:val="SourceCode"/>
      </w:pPr>
      <w:r>
        <w:rPr>
          <w:rStyle w:val="VerbatimChar"/>
        </w:rPr>
        <w:t xml:space="preserve">region       clientes   TP   TN    FP   FN   precision   recall   FPR</w:t>
      </w:r>
      <w:r>
        <w:br/>
      </w:r>
      <w:r>
        <w:rPr>
          <w:rStyle w:val="VerbatimChar"/>
        </w:rPr>
        <w:t xml:space="preserve">Barcelona    188        7    118   18   45   0.280       0.135    0.132</w:t>
      </w:r>
      <w:r>
        <w:br/>
      </w:r>
      <w:r>
        <w:rPr>
          <w:rStyle w:val="VerbatimChar"/>
        </w:rPr>
        <w:t xml:space="preserve">Zaragoza     169        12   86    19   52   0.387       0.188    0.181</w:t>
      </w:r>
      <w:r>
        <w:br/>
      </w:r>
      <w:r>
        <w:rPr>
          <w:rStyle w:val="VerbatimChar"/>
        </w:rPr>
        <w:t xml:space="preserve">Madrid       194        10   127   14   43   0.417       0.189    0.099</w:t>
      </w:r>
      <w:r>
        <w:br/>
      </w:r>
      <w:r>
        <w:rPr>
          <w:rStyle w:val="VerbatimChar"/>
        </w:rPr>
        <w:t xml:space="preserve">Sevilla      139        12   75    12   40   0.500       0.231    0.138</w:t>
      </w:r>
      <w:r>
        <w:br/>
      </w:r>
      <w:r>
        <w:rPr>
          <w:rStyle w:val="VerbatimChar"/>
        </w:rPr>
        <w:t xml:space="preserve">Bilbao       128        11   67    19   31   0.367       0.262    0.221</w:t>
      </w:r>
      <w:r>
        <w:br/>
      </w:r>
      <w:r>
        <w:rPr>
          <w:rStyle w:val="VerbatimChar"/>
        </w:rPr>
        <w:t xml:space="preserve">Valencia     182        19   100   29   34   0.396       0.358    0.225</w:t>
      </w:r>
    </w:p>
    <w:p>
      <w:pPr>
        <w:pStyle w:val="FirstParagraph"/>
      </w:pPr>
      <w:r>
        <w:t xml:space="preserve">Guion para explicar el resultado:</w:t>
      </w:r>
    </w:p>
    <w:p>
      <w:pPr>
        <w:pStyle w:val="BlockText"/>
      </w:pPr>
      <w:r>
        <w:t xml:space="preserve">Esta tabla es una de las más importantes del laboratorio. Vemos que el recall es muy bajo en todas las regiones, especialmente en Barcelona.</w:t>
      </w:r>
    </w:p>
    <w:p>
      <w:pPr>
        <w:pStyle w:val="BlockText"/>
      </w:pPr>
      <w:r>
        <w:t xml:space="preserve">En Barcelona, el recall es 0,135. Eso significa que el modelo solo detecta aproximadamente el 13,5 % de los clientes que realmente abandonan. Dicho de otra forma, se le escapan muchos clientes que sí se van.</w:t>
      </w:r>
    </w:p>
    <w:p>
      <w:pPr>
        <w:pStyle w:val="BlockText"/>
      </w:pPr>
      <w:r>
        <w:t xml:space="preserve">Valencia tiene el recall más alto, 0,358, pero aun así sigue siendo bajo. Detecta alrededor del 35,8 % de los abandonos reales.</w:t>
      </w:r>
    </w:p>
    <w:p>
      <w:pPr>
        <w:pStyle w:val="FirstParagraph"/>
      </w:pPr>
      <w:r>
        <w:t xml:space="preserve">Interpretación de negocio:</w:t>
      </w:r>
    </w:p>
    <w:p>
      <w:pPr>
        <w:pStyle w:val="BlockText"/>
      </w:pPr>
      <w:r>
        <w:t xml:space="preserve">Este modelo, tal como está, parece poco útil para retención si el objetivo es detectar a clientes que realmente van a abandonar. Tiene muchos falsos negativos.</w:t>
      </w:r>
    </w:p>
    <w:p>
      <w:pPr>
        <w:pStyle w:val="FirstParagraph"/>
      </w:pPr>
      <w:r>
        <w:t xml:space="preserve">La celda guarda el fichero:</w:t>
      </w:r>
    </w:p>
    <w:p>
      <w:pPr>
        <w:pStyle w:val="SourceCode"/>
      </w:pPr>
      <w:r>
        <w:rPr>
          <w:rStyle w:val="VerbatimChar"/>
        </w:rPr>
        <w:t xml:space="preserve">outputs/lab10_metricas_error_region.csv</w:t>
      </w:r>
    </w:p>
    <w:p>
      <w:r>
        <w:pict>
          <v:rect style="width:0;height:1.5pt" o:hralign="center" o:hrstd="t" o:hr="t"/>
        </w:pict>
      </w:r>
    </w:p>
    <w:bookmarkEnd w:id="39"/>
    <w:bookmarkEnd w:id="40"/>
    <w:bookmarkStart w:id="41" w:name="X1330ac011b9b3cee1fde1c4a872eb94aa800892"/>
    <w:p>
      <w:pPr>
        <w:pStyle w:val="Heading2"/>
      </w:pPr>
      <w:r>
        <w:t xml:space="preserve">Celda 10. Parte D: métricas formales de equidad</w:t>
      </w:r>
    </w:p>
    <w:p>
      <w:pPr>
        <w:pStyle w:val="FirstParagraph"/>
      </w:pPr>
      <w:r>
        <w:t xml:space="preserve">Esta celda introduce dos métricas de fairness:</w:t>
      </w:r>
    </w:p>
    <w:p>
      <w:pPr>
        <w:pStyle w:val="SourceCode"/>
      </w:pPr>
      <w:r>
        <w:rPr>
          <w:rStyle w:val="VerbatimChar"/>
        </w:rPr>
        <w:t xml:space="preserve">Parte D. Métricas formales de equidad</w:t>
      </w:r>
    </w:p>
    <w:p>
      <w:pPr>
        <w:pStyle w:val="FirstParagraph"/>
      </w:pPr>
      <w:r>
        <w:t xml:space="preserve">Guion:</w:t>
      </w:r>
    </w:p>
    <w:p>
      <w:pPr>
        <w:pStyle w:val="BlockText"/>
      </w:pPr>
      <w:r>
        <w:t xml:space="preserve">Ahora vamos a analizar dos conceptos habituales en auditoría de modelos: paridad demográfica e igualdad de oportunidades.</w:t>
      </w:r>
    </w:p>
    <w:p>
      <w:pPr>
        <w:pStyle w:val="BlockText"/>
      </w:pPr>
      <w:r>
        <w:t xml:space="preserve">Estas métricas ayudan a comprobar si el modelo trata de forma parecida a distintos grupos.</w:t>
      </w:r>
    </w:p>
    <w:p>
      <w:r>
        <w:pict>
          <v:rect style="width:0;height:1.5pt" o:hralign="center" o:hrstd="t" o:hr="t"/>
        </w:pict>
      </w:r>
    </w:p>
    <w:bookmarkEnd w:id="41"/>
    <w:bookmarkStart w:id="45" w:name="X91800a3d08881944f1a24510f1b0fbaca381169"/>
    <w:p>
      <w:pPr>
        <w:pStyle w:val="Heading2"/>
      </w:pPr>
      <w:r>
        <w:t xml:space="preserve">Celda 11. Paridad demográfica e igualdad de oportunidades</w:t>
      </w:r>
    </w:p>
    <w:bookmarkStart w:id="42" w:name="paridad-demográfica"/>
    <w:p>
      <w:pPr>
        <w:pStyle w:val="Heading3"/>
      </w:pPr>
      <w:r>
        <w:t xml:space="preserve">Paridad demográfica</w:t>
      </w:r>
    </w:p>
    <w:p>
      <w:pPr>
        <w:pStyle w:val="FirstParagraph"/>
      </w:pPr>
      <w:r>
        <w:t xml:space="preserve">La celda calcula la tasa de predicciones positivas por región:</w:t>
      </w:r>
    </w:p>
    <w:p>
      <w:pPr>
        <w:pStyle w:val="SourceCode"/>
      </w:pPr>
      <w:r>
        <w:rPr>
          <w:rStyle w:val="NormalTok"/>
        </w:rPr>
        <w:t xml:space="preserve">paridad </w:t>
      </w:r>
      <w:r>
        <w:rPr>
          <w:rStyle w:val="OperatorTok"/>
        </w:rPr>
        <w:t xml:space="preserve">=</w:t>
      </w:r>
      <w:r>
        <w:rPr>
          <w:rStyle w:val="NormalTok"/>
        </w:rPr>
        <w:t xml:space="preserve"> df.groupby(</w:t>
      </w:r>
      <w:r>
        <w:rPr>
          <w:rStyle w:val="StringTok"/>
        </w:rPr>
        <w:t xml:space="preserve">'region'</w:t>
      </w:r>
      <w:r>
        <w:rPr>
          <w:rStyle w:val="NormalTok"/>
        </w:rPr>
        <w:t xml:space="preserve">)[</w:t>
      </w:r>
      <w:r>
        <w:rPr>
          <w:rStyle w:val="StringTok"/>
        </w:rPr>
        <w:t xml:space="preserve">'y_pred'</w:t>
      </w:r>
      <w:r>
        <w:rPr>
          <w:rStyle w:val="NormalTok"/>
        </w:rPr>
        <w:t xml:space="preserve">].mean()</w:t>
      </w:r>
    </w:p>
    <w:p>
      <w:pPr>
        <w:pStyle w:val="FirstParagraph"/>
      </w:pPr>
      <w:r>
        <w:t xml:space="preserve">Esto significa:</w:t>
      </w:r>
    </w:p>
    <w:p>
      <w:pPr>
        <w:pStyle w:val="BlockText"/>
      </w:pPr>
      <w:r>
        <w:t xml:space="preserve">Qué porcentaje de clientes de cada región son marcados por el modelo como riesgo de abandono.</w:t>
      </w:r>
    </w:p>
    <w:bookmarkEnd w:id="42"/>
    <w:bookmarkStart w:id="43" w:name="resultado-de-paridad-demográfica"/>
    <w:p>
      <w:pPr>
        <w:pStyle w:val="Heading3"/>
      </w:pPr>
      <w:r>
        <w:t xml:space="preserve">Resultado de paridad demográfica</w:t>
      </w:r>
    </w:p>
    <w:p>
      <w:pPr>
        <w:pStyle w:val="SourceCode"/>
      </w:pPr>
      <w:r>
        <w:rPr>
          <w:rStyle w:val="VerbatimChar"/>
        </w:rPr>
        <w:t xml:space="preserve">region       tasa_positivos</w:t>
      </w:r>
      <w:r>
        <w:br/>
      </w:r>
      <w:r>
        <w:rPr>
          <w:rStyle w:val="VerbatimChar"/>
        </w:rPr>
        <w:t xml:space="preserve">Valencia     0.264</w:t>
      </w:r>
      <w:r>
        <w:br/>
      </w:r>
      <w:r>
        <w:rPr>
          <w:rStyle w:val="VerbatimChar"/>
        </w:rPr>
        <w:t xml:space="preserve">Bilbao       0.234</w:t>
      </w:r>
      <w:r>
        <w:br/>
      </w:r>
      <w:r>
        <w:rPr>
          <w:rStyle w:val="VerbatimChar"/>
        </w:rPr>
        <w:t xml:space="preserve">Zaragoza     0.183</w:t>
      </w:r>
      <w:r>
        <w:br/>
      </w:r>
      <w:r>
        <w:rPr>
          <w:rStyle w:val="VerbatimChar"/>
        </w:rPr>
        <w:t xml:space="preserve">Sevilla      0.173</w:t>
      </w:r>
      <w:r>
        <w:br/>
      </w:r>
      <w:r>
        <w:rPr>
          <w:rStyle w:val="VerbatimChar"/>
        </w:rPr>
        <w:t xml:space="preserve">Barcelona    0.133</w:t>
      </w:r>
      <w:r>
        <w:br/>
      </w:r>
      <w:r>
        <w:rPr>
          <w:rStyle w:val="VerbatimChar"/>
        </w:rPr>
        <w:t xml:space="preserve">Madrid       0.124</w:t>
      </w:r>
    </w:p>
    <w:p>
      <w:pPr>
        <w:pStyle w:val="FirstParagraph"/>
      </w:pPr>
      <w:r>
        <w:t xml:space="preserve">Después aparece:</w:t>
      </w:r>
    </w:p>
    <w:p>
      <w:pPr>
        <w:pStyle w:val="SourceCode"/>
      </w:pPr>
      <w:r>
        <w:rPr>
          <w:rStyle w:val="VerbatimChar"/>
        </w:rPr>
        <w:t xml:space="preserve">Brecha de tasa de positivos: 0.14</w:t>
      </w:r>
    </w:p>
    <w:p>
      <w:pPr>
        <w:pStyle w:val="FirstParagraph"/>
      </w:pPr>
      <w:r>
        <w:t xml:space="preserve">Guion para explicar el resultado:</w:t>
      </w:r>
    </w:p>
    <w:p>
      <w:pPr>
        <w:pStyle w:val="BlockText"/>
      </w:pPr>
      <w:r>
        <w:t xml:space="preserve">El modelo marca como riesgo al 26,4 % de los clientes de Valencia, pero solo al 12,4 % de los clientes de Madrid.</w:t>
      </w:r>
    </w:p>
    <w:p>
      <w:pPr>
        <w:pStyle w:val="BlockText"/>
      </w:pPr>
      <w:r>
        <w:t xml:space="preserve">La brecha de tasa de positivos es 0,14, es decir, 14 puntos porcentuales entre la región con mayor tasa y la región con menor tasa.</w:t>
      </w:r>
    </w:p>
    <w:p>
      <w:pPr>
        <w:pStyle w:val="BlockText"/>
      </w:pPr>
      <w:r>
        <w:t xml:space="preserve">Esto no demuestra automáticamente discriminación, porque puede haber diferencias reales entre regiones, pero sí indica que hay que revisar el comportamiento del modelo.</w:t>
      </w:r>
    </w:p>
    <w:p>
      <w:r>
        <w:pict>
          <v:rect style="width:0;height:1.5pt" o:hralign="center" o:hrstd="t" o:hr="t"/>
        </w:pict>
      </w:r>
    </w:p>
    <w:bookmarkEnd w:id="43"/>
    <w:bookmarkStart w:id="44" w:name="igualdad-de-oportunidades"/>
    <w:p>
      <w:pPr>
        <w:pStyle w:val="Heading3"/>
      </w:pPr>
      <w:r>
        <w:t xml:space="preserve">Igualdad de oportunidades</w:t>
      </w:r>
    </w:p>
    <w:p>
      <w:pPr>
        <w:pStyle w:val="FirstParagraph"/>
      </w:pPr>
      <w:r>
        <w:t xml:space="preserve">Después la celda muestra el recall por región:</w:t>
      </w:r>
    </w:p>
    <w:p>
      <w:pPr>
        <w:pStyle w:val="SourceCode"/>
      </w:pPr>
      <w:r>
        <w:rPr>
          <w:rStyle w:val="VerbatimChar"/>
        </w:rPr>
        <w:t xml:space="preserve">region       recall</w:t>
      </w:r>
      <w:r>
        <w:br/>
      </w:r>
      <w:r>
        <w:rPr>
          <w:rStyle w:val="VerbatimChar"/>
        </w:rPr>
        <w:t xml:space="preserve">Barcelona    0.135</w:t>
      </w:r>
      <w:r>
        <w:br/>
      </w:r>
      <w:r>
        <w:rPr>
          <w:rStyle w:val="VerbatimChar"/>
        </w:rPr>
        <w:t xml:space="preserve">Zaragoza     0.188</w:t>
      </w:r>
      <w:r>
        <w:br/>
      </w:r>
      <w:r>
        <w:rPr>
          <w:rStyle w:val="VerbatimChar"/>
        </w:rPr>
        <w:t xml:space="preserve">Madrid       0.189</w:t>
      </w:r>
      <w:r>
        <w:br/>
      </w:r>
      <w:r>
        <w:rPr>
          <w:rStyle w:val="VerbatimChar"/>
        </w:rPr>
        <w:t xml:space="preserve">Sevilla      0.231</w:t>
      </w:r>
      <w:r>
        <w:br/>
      </w:r>
      <w:r>
        <w:rPr>
          <w:rStyle w:val="VerbatimChar"/>
        </w:rPr>
        <w:t xml:space="preserve">Bilbao       0.262</w:t>
      </w:r>
      <w:r>
        <w:br/>
      </w:r>
      <w:r>
        <w:rPr>
          <w:rStyle w:val="VerbatimChar"/>
        </w:rPr>
        <w:t xml:space="preserve">Valencia     0.358</w:t>
      </w:r>
    </w:p>
    <w:p>
      <w:pPr>
        <w:pStyle w:val="FirstParagraph"/>
      </w:pPr>
      <w:r>
        <w:t xml:space="preserve">Después aparece:</w:t>
      </w:r>
    </w:p>
    <w:p>
      <w:pPr>
        <w:pStyle w:val="SourceCode"/>
      </w:pPr>
      <w:r>
        <w:rPr>
          <w:rStyle w:val="VerbatimChar"/>
        </w:rPr>
        <w:t xml:space="preserve">Brecha de recall: 0.224</w:t>
      </w:r>
    </w:p>
    <w:p>
      <w:pPr>
        <w:pStyle w:val="FirstParagraph"/>
      </w:pPr>
      <w:r>
        <w:t xml:space="preserve">Guion para explicarlo:</w:t>
      </w:r>
    </w:p>
    <w:p>
      <w:pPr>
        <w:pStyle w:val="BlockText"/>
      </w:pPr>
      <w:r>
        <w:t xml:space="preserve">La igualdad de oportunidades se centra en si el modelo detecta igual de bien los casos positivos reales en todos los grupos.</w:t>
      </w:r>
    </w:p>
    <w:p>
      <w:pPr>
        <w:pStyle w:val="BlockText"/>
      </w:pPr>
      <w:r>
        <w:t xml:space="preserve">Aquí vemos que Valencia tiene un recall de 0,358, mientras que Barcelona tiene solo 0,135. La brecha es 0,224, es decir, 22,4 puntos porcentuales.</w:t>
      </w:r>
    </w:p>
    <w:p>
      <w:pPr>
        <w:pStyle w:val="BlockText"/>
      </w:pPr>
      <w:r>
        <w:t xml:space="preserve">Esto es una señal importante de desigualdad de rendimiento. El modelo detecta mucho peor a los clientes que abandonan en Barcelona que en Valencia.</w:t>
      </w:r>
    </w:p>
    <w:p>
      <w:pPr>
        <w:pStyle w:val="FirstParagraph"/>
      </w:pPr>
      <w:r>
        <w:t xml:space="preserve">Interpretación para negocio:</w:t>
      </w:r>
    </w:p>
    <w:p>
      <w:pPr>
        <w:pStyle w:val="BlockText"/>
      </w:pPr>
      <w:r>
        <w:t xml:space="preserve">Si el modelo se usa para acciones de retención, los clientes de Barcelona que realmente van a abandonar tienen menos probabilidad de ser detectados y, por tanto, menos probabilidad de recibir una acción preventiva.</w:t>
      </w:r>
    </w:p>
    <w:p>
      <w:pPr>
        <w:pStyle w:val="FirstParagraph"/>
      </w:pPr>
      <w:r>
        <w:t xml:space="preserve">La celda guarda:</w:t>
      </w:r>
    </w:p>
    <w:p>
      <w:pPr>
        <w:pStyle w:val="SourceCode"/>
      </w:pPr>
      <w:r>
        <w:rPr>
          <w:rStyle w:val="VerbatimChar"/>
        </w:rPr>
        <w:t xml:space="preserve">outputs/lab10_metricas_equidad_region.csv</w:t>
      </w:r>
    </w:p>
    <w:p>
      <w:r>
        <w:pict>
          <v:rect style="width:0;height:1.5pt" o:hralign="center" o:hrstd="t" o:hr="t"/>
        </w:pict>
      </w:r>
    </w:p>
    <w:bookmarkEnd w:id="44"/>
    <w:bookmarkEnd w:id="45"/>
    <w:bookmarkStart w:id="46" w:name="Xe4318db774166a4a411ff249ec55754d0846e06"/>
    <w:p>
      <w:pPr>
        <w:pStyle w:val="Heading2"/>
      </w:pPr>
      <w:r>
        <w:t xml:space="preserve">Celda 12. Parte E: variables proxy y bucle de retroalimentación</w:t>
      </w:r>
    </w:p>
    <w:p>
      <w:pPr>
        <w:pStyle w:val="FirstParagraph"/>
      </w:pPr>
      <w:r>
        <w:t xml:space="preserve">Esta celda introduce dos ideas importantes:</w:t>
      </w:r>
    </w:p>
    <w:p>
      <w:pPr>
        <w:pStyle w:val="SourceCode"/>
      </w:pPr>
      <w:r>
        <w:rPr>
          <w:rStyle w:val="VerbatimChar"/>
        </w:rPr>
        <w:t xml:space="preserve">Parte E. Variables proxy y bucle de retroalimentación</w:t>
      </w:r>
    </w:p>
    <w:p>
      <w:pPr>
        <w:pStyle w:val="FirstParagraph"/>
      </w:pPr>
      <w:r>
        <w:t xml:space="preserve">Guion:</w:t>
      </w:r>
    </w:p>
    <w:p>
      <w:pPr>
        <w:pStyle w:val="BlockText"/>
      </w:pPr>
      <w:r>
        <w:t xml:space="preserve">Ahora vamos a analizar si algunas variables, como</w:t>
      </w:r>
      <w:r>
        <w:t xml:space="preserve"> </w:t>
      </w:r>
      <w:r>
        <w:rPr>
          <w:rStyle w:val="VerbatimChar"/>
        </w:rPr>
        <w:t xml:space="preserve">zone_type</w:t>
      </w:r>
      <w:r>
        <w:t xml:space="preserve"> </w:t>
      </w:r>
      <w:r>
        <w:t xml:space="preserve">o</w:t>
      </w:r>
      <w:r>
        <w:t xml:space="preserve"> </w:t>
      </w:r>
      <w:r>
        <w:rPr>
          <w:rStyle w:val="VerbatimChar"/>
        </w:rPr>
        <w:t xml:space="preserve">region</w:t>
      </w:r>
      <w:r>
        <w:t xml:space="preserve">, pueden actuar como variables proxy.</w:t>
      </w:r>
    </w:p>
    <w:p>
      <w:pPr>
        <w:pStyle w:val="BlockText"/>
      </w:pPr>
      <w:r>
        <w:t xml:space="preserve">Una variable proxy es una variable que no representa directamente una característica sensible o problemática, pero puede estar relacionada con ella.</w:t>
      </w:r>
    </w:p>
    <w:p>
      <w:pPr>
        <w:pStyle w:val="FirstParagraph"/>
      </w:pPr>
      <w:r>
        <w:t xml:space="preserve">Ejemplo:</w:t>
      </w:r>
    </w:p>
    <w:p>
      <w:pPr>
        <w:pStyle w:val="BlockText"/>
      </w:pPr>
      <w:r>
        <w:t xml:space="preserve">El modelo puede no usar directamente nivel socioeconómico, pero si usa zona geográfica, tipo de zona o código postal, puede estar capturando diferencias territoriales o sociales de forma indirecta.</w:t>
      </w:r>
    </w:p>
    <w:p>
      <w:r>
        <w:pict>
          <v:rect style="width:0;height:1.5pt" o:hralign="center" o:hrstd="t" o:hr="t"/>
        </w:pict>
      </w:r>
    </w:p>
    <w:bookmarkEnd w:id="46"/>
    <w:bookmarkStart w:id="48" w:name="Xcab24821272c82fe26b5199d9618d238a9a2198"/>
    <w:p>
      <w:pPr>
        <w:pStyle w:val="Heading2"/>
      </w:pPr>
      <w:r>
        <w:t xml:space="preserve">Celda 13. Análisis de</w:t>
      </w:r>
      <w:r>
        <w:t xml:space="preserve"> </w:t>
      </w:r>
      <w:r>
        <w:rPr>
          <w:rStyle w:val="VerbatimChar"/>
        </w:rPr>
        <w:t xml:space="preserve">zone_type</w:t>
      </w:r>
      <w:r>
        <w:t xml:space="preserve"> </w:t>
      </w:r>
      <w:r>
        <w:t xml:space="preserve">como posible proxy</w:t>
      </w:r>
    </w:p>
    <w:p>
      <w:pPr>
        <w:pStyle w:val="FirstParagraph"/>
      </w:pPr>
      <w:r>
        <w:t xml:space="preserve">La celda agrupa por tipo de zona:</w:t>
      </w:r>
    </w:p>
    <w:p>
      <w:pPr>
        <w:pStyle w:val="SourceCode"/>
      </w:pPr>
      <w:r>
        <w:rPr>
          <w:rStyle w:val="NormalTok"/>
        </w:rPr>
        <w:t xml:space="preserve">proxy_zone </w:t>
      </w:r>
      <w:r>
        <w:rPr>
          <w:rStyle w:val="OperatorTok"/>
        </w:rPr>
        <w:t xml:space="preserve">=</w:t>
      </w:r>
      <w:r>
        <w:rPr>
          <w:rStyle w:val="NormalTok"/>
        </w:rPr>
        <w:t xml:space="preserve"> df.groupby(</w:t>
      </w:r>
      <w:r>
        <w:rPr>
          <w:rStyle w:val="StringTok"/>
        </w:rPr>
        <w:t xml:space="preserve">'zone_type'</w:t>
      </w:r>
      <w:r>
        <w:rPr>
          <w:rStyle w:val="NormalTok"/>
        </w:rPr>
        <w:t xml:space="preserve">).agg(</w:t>
      </w:r>
      <w:r>
        <w:br/>
      </w:r>
      <w:r>
        <w:rPr>
          <w:rStyle w:val="NormalTok"/>
        </w:rPr>
        <w:t xml:space="preserve">    clientes</w:t>
      </w:r>
      <w:r>
        <w:rPr>
          <w:rStyle w:val="OperatorTok"/>
        </w:rPr>
        <w:t xml:space="preserve">=</w:t>
      </w:r>
      <w:r>
        <w:rPr>
          <w:rStyle w:val="NormalTok"/>
        </w:rPr>
        <w:t xml:space="preserve">(</w:t>
      </w:r>
      <w:r>
        <w:rPr>
          <w:rStyle w:val="StringTok"/>
        </w:rPr>
        <w:t xml:space="preserve">'customer_id'</w:t>
      </w:r>
      <w:r>
        <w:rPr>
          <w:rStyle w:val="NormalTok"/>
        </w:rPr>
        <w:t xml:space="preserve">,</w:t>
      </w:r>
      <w:r>
        <w:rPr>
          <w:rStyle w:val="StringTok"/>
        </w:rPr>
        <w:t xml:space="preserve">'count'</w:t>
      </w:r>
      <w:r>
        <w:rPr>
          <w:rStyle w:val="NormalTok"/>
        </w:rPr>
        <w:t xml:space="preserve">),</w:t>
      </w:r>
      <w:r>
        <w:br/>
      </w:r>
      <w:r>
        <w:rPr>
          <w:rStyle w:val="NormalTok"/>
        </w:rPr>
        <w:t xml:space="preserve">    churn_real</w:t>
      </w:r>
      <w:r>
        <w:rPr>
          <w:rStyle w:val="OperatorTok"/>
        </w:rPr>
        <w:t xml:space="preserve">=</w:t>
      </w:r>
      <w:r>
        <w:rPr>
          <w:rStyle w:val="NormalTok"/>
        </w:rPr>
        <w:t xml:space="preserve">(</w:t>
      </w:r>
      <w:r>
        <w:rPr>
          <w:rStyle w:val="StringTok"/>
        </w:rPr>
        <w:t xml:space="preserve">'y_true'</w:t>
      </w:r>
      <w:r>
        <w:rPr>
          <w:rStyle w:val="NormalTok"/>
        </w:rPr>
        <w:t xml:space="preserve">,</w:t>
      </w:r>
      <w:r>
        <w:rPr>
          <w:rStyle w:val="StringTok"/>
        </w:rPr>
        <w:t xml:space="preserve">'mean'</w:t>
      </w:r>
      <w:r>
        <w:rPr>
          <w:rStyle w:val="NormalTok"/>
        </w:rPr>
        <w:t xml:space="preserve">),</w:t>
      </w:r>
      <w:r>
        <w:br/>
      </w:r>
      <w:r>
        <w:rPr>
          <w:rStyle w:val="NormalTok"/>
        </w:rPr>
        <w:t xml:space="preserve">    churn_predicho</w:t>
      </w:r>
      <w:r>
        <w:rPr>
          <w:rStyle w:val="OperatorTok"/>
        </w:rPr>
        <w:t xml:space="preserve">=</w:t>
      </w:r>
      <w:r>
        <w:rPr>
          <w:rStyle w:val="NormalTok"/>
        </w:rPr>
        <w:t xml:space="preserve">(</w:t>
      </w:r>
      <w:r>
        <w:rPr>
          <w:rStyle w:val="StringTok"/>
        </w:rPr>
        <w:t xml:space="preserve">'y_pred'</w:t>
      </w:r>
      <w:r>
        <w:rPr>
          <w:rStyle w:val="NormalTok"/>
        </w:rPr>
        <w:t xml:space="preserve">,</w:t>
      </w:r>
      <w:r>
        <w:rPr>
          <w:rStyle w:val="StringTok"/>
        </w:rPr>
        <w:t xml:space="preserve">'mean'</w:t>
      </w:r>
      <w:r>
        <w:rPr>
          <w:rStyle w:val="NormalTok"/>
        </w:rPr>
        <w:t xml:space="preserve">),</w:t>
      </w:r>
      <w:r>
        <w:br/>
      </w:r>
      <w:r>
        <w:rPr>
          <w:rStyle w:val="NormalTok"/>
        </w:rPr>
        <w:t xml:space="preserve">    precio_medio</w:t>
      </w:r>
      <w:r>
        <w:rPr>
          <w:rStyle w:val="OperatorTok"/>
        </w:rPr>
        <w:t xml:space="preserve">=</w:t>
      </w:r>
      <w:r>
        <w:rPr>
          <w:rStyle w:val="NormalTok"/>
        </w:rPr>
        <w:t xml:space="preserve">(</w:t>
      </w:r>
      <w:r>
        <w:rPr>
          <w:rStyle w:val="StringTok"/>
        </w:rPr>
        <w:t xml:space="preserve">'monthly_price'</w:t>
      </w:r>
      <w:r>
        <w:rPr>
          <w:rStyle w:val="NormalTok"/>
        </w:rPr>
        <w:t xml:space="preserve">,</w:t>
      </w:r>
      <w:r>
        <w:rPr>
          <w:rStyle w:val="StringTok"/>
        </w:rPr>
        <w:t xml:space="preserve">'mean'</w:t>
      </w:r>
      <w:r>
        <w:rPr>
          <w:rStyle w:val="NormalTok"/>
        </w:rPr>
        <w:t xml:space="preserve">),</w:t>
      </w:r>
      <w:r>
        <w:br/>
      </w:r>
      <w:r>
        <w:rPr>
          <w:rStyle w:val="NormalTok"/>
        </w:rPr>
        <w:t xml:space="preserve">    tenure_medio</w:t>
      </w:r>
      <w:r>
        <w:rPr>
          <w:rStyle w:val="OperatorTok"/>
        </w:rPr>
        <w:t xml:space="preserve">=</w:t>
      </w:r>
      <w:r>
        <w:rPr>
          <w:rStyle w:val="NormalTok"/>
        </w:rPr>
        <w:t xml:space="preserve">(</w:t>
      </w:r>
      <w:r>
        <w:rPr>
          <w:rStyle w:val="StringTok"/>
        </w:rPr>
        <w:t xml:space="preserve">'tenure_months'</w:t>
      </w:r>
      <w:r>
        <w:rPr>
          <w:rStyle w:val="NormalTok"/>
        </w:rPr>
        <w:t xml:space="preserve">,</w:t>
      </w:r>
      <w:r>
        <w:rPr>
          <w:rStyle w:val="StringTok"/>
        </w:rPr>
        <w:t xml:space="preserve">'mean'</w:t>
      </w:r>
      <w:r>
        <w:rPr>
          <w:rStyle w:val="NormalTok"/>
        </w:rPr>
        <w:t xml:space="preserve">)</w:t>
      </w:r>
      <w:r>
        <w:br/>
      </w:r>
      <w:r>
        <w:rPr>
          <w:rStyle w:val="NormalTok"/>
        </w:rPr>
        <w:t xml:space="preserve">)</w:t>
      </w:r>
    </w:p>
    <w:bookmarkStart w:id="47" w:name="resultado-que-aparece-4"/>
    <w:p>
      <w:pPr>
        <w:pStyle w:val="Heading3"/>
      </w:pPr>
      <w:r>
        <w:t xml:space="preserve">Resultado que aparece</w:t>
      </w:r>
    </w:p>
    <w:p>
      <w:pPr>
        <w:pStyle w:val="SourceCode"/>
      </w:pPr>
      <w:r>
        <w:rPr>
          <w:rStyle w:val="VerbatimChar"/>
        </w:rPr>
        <w:t xml:space="preserve">zone_type     clientes   churn_real   churn_predicho   precio_medio   tenure_medio</w:t>
      </w:r>
      <w:r>
        <w:br/>
      </w:r>
      <w:r>
        <w:rPr>
          <w:rStyle w:val="VerbatimChar"/>
        </w:rPr>
        <w:t xml:space="preserve">periurbana    321        0.327        0.224            48.150         33.804</w:t>
      </w:r>
      <w:r>
        <w:br/>
      </w:r>
      <w:r>
        <w:rPr>
          <w:rStyle w:val="VerbatimChar"/>
        </w:rPr>
        <w:t xml:space="preserve">rural         297        0.357        0.205            44.154         34.643</w:t>
      </w:r>
      <w:r>
        <w:br/>
      </w:r>
      <w:r>
        <w:rPr>
          <w:rStyle w:val="VerbatimChar"/>
        </w:rPr>
        <w:t xml:space="preserve">urbana        382        0.275        0.128            53.989         35.296</w:t>
      </w:r>
    </w:p>
    <w:p>
      <w:pPr>
        <w:pStyle w:val="FirstParagraph"/>
      </w:pPr>
      <w:r>
        <w:t xml:space="preserve">Después aparece el mensaje:</w:t>
      </w:r>
    </w:p>
    <w:p>
      <w:pPr>
        <w:pStyle w:val="SourceCode"/>
      </w:pPr>
      <w:r>
        <w:rPr>
          <w:rStyle w:val="VerbatimChar"/>
        </w:rPr>
        <w:t xml:space="preserve">Reflexión: si zone_type o region resumen desigualdad territorial, pueden actuar como proxy. No siempre deben eliminarse, pero sí documentarse y auditarse.</w:t>
      </w:r>
    </w:p>
    <w:p>
      <w:pPr>
        <w:pStyle w:val="FirstParagraph"/>
      </w:pPr>
      <w:r>
        <w:t xml:space="preserve">Guion para explicar el resultado:</w:t>
      </w:r>
    </w:p>
    <w:p>
      <w:pPr>
        <w:pStyle w:val="BlockText"/>
      </w:pPr>
      <w:r>
        <w:t xml:space="preserve">Esta tabla muestra que el churn real no es igual en todos los tipos de zona. En zonas rurales, el churn real es 0,357; en zonas urbanas, es 0,275.</w:t>
      </w:r>
    </w:p>
    <w:p>
      <w:pPr>
        <w:pStyle w:val="BlockText"/>
      </w:pPr>
      <w:r>
        <w:t xml:space="preserve">También vemos que el churn predicho es más alto en zonas periurbanas y rurales que en zonas urbanas.</w:t>
      </w:r>
    </w:p>
    <w:p>
      <w:pPr>
        <w:pStyle w:val="BlockText"/>
      </w:pPr>
      <w:r>
        <w:t xml:space="preserve">Además, el precio medio también cambia por tipo de zona. En zonas urbanas el precio medio es 53,989, mientras que en zonas rurales es 44,154.</w:t>
      </w:r>
    </w:p>
    <w:p>
      <w:pPr>
        <w:pStyle w:val="FirstParagraph"/>
      </w:pPr>
      <w:r>
        <w:t xml:space="preserve">Interpretación:</w:t>
      </w:r>
    </w:p>
    <w:p>
      <w:pPr>
        <w:pStyle w:val="BlockText"/>
      </w:pPr>
      <w:r>
        <w:rPr>
          <w:rStyle w:val="VerbatimChar"/>
        </w:rPr>
        <w:t xml:space="preserve">zone_type</w:t>
      </w:r>
      <w:r>
        <w:t xml:space="preserve"> </w:t>
      </w:r>
      <w:r>
        <w:t xml:space="preserve">puede estar recogiendo diferencias territoriales, económicas, de calidad de servicio o de comportamiento comercial. Por eso puede actuar como proxy.</w:t>
      </w:r>
    </w:p>
    <w:p>
      <w:pPr>
        <w:pStyle w:val="FirstParagraph"/>
      </w:pPr>
      <w:r>
        <w:t xml:space="preserve">Mensaje importante:</w:t>
      </w:r>
    </w:p>
    <w:p>
      <w:pPr>
        <w:pStyle w:val="BlockText"/>
      </w:pPr>
      <w:r>
        <w:t xml:space="preserve">No siempre hay que eliminar una variable proxy. A veces puede ser relevante para el negocio. Pero hay que documentarla, auditarla y comprobar si genera efectos injustos.</w:t>
      </w:r>
    </w:p>
    <w:p>
      <w:pPr>
        <w:pStyle w:val="FirstParagraph"/>
      </w:pPr>
      <w:r>
        <w:t xml:space="preserve">La celda guarda:</w:t>
      </w:r>
    </w:p>
    <w:p>
      <w:pPr>
        <w:pStyle w:val="SourceCode"/>
      </w:pPr>
      <w:r>
        <w:rPr>
          <w:rStyle w:val="VerbatimChar"/>
        </w:rPr>
        <w:t xml:space="preserve">outputs/lab10_proxy_zone_type.csv</w:t>
      </w:r>
    </w:p>
    <w:p>
      <w:r>
        <w:pict>
          <v:rect style="width:0;height:1.5pt" o:hralign="center" o:hrstd="t" o:hr="t"/>
        </w:pict>
      </w:r>
    </w:p>
    <w:bookmarkEnd w:id="47"/>
    <w:bookmarkEnd w:id="48"/>
    <w:bookmarkStart w:id="49" w:name="Xc0fa7fbe5103d4cba81f8041a25fc5cea0b17fd"/>
    <w:p>
      <w:pPr>
        <w:pStyle w:val="Heading2"/>
      </w:pPr>
      <w:r>
        <w:t xml:space="preserve">Explicación del bucle de retroalimentación</w:t>
      </w:r>
    </w:p>
    <w:p>
      <w:pPr>
        <w:pStyle w:val="FirstParagraph"/>
      </w:pPr>
      <w:r>
        <w:t xml:space="preserve">Aunque la celda no calcula directamente el bucle, el título lo menciona y conviene explicarlo.</w:t>
      </w:r>
    </w:p>
    <w:p>
      <w:pPr>
        <w:pStyle w:val="BodyText"/>
      </w:pPr>
      <w:r>
        <w:t xml:space="preserve">Guion para clase:</w:t>
      </w:r>
    </w:p>
    <w:p>
      <w:pPr>
        <w:pStyle w:val="BlockText"/>
      </w:pPr>
      <w:r>
        <w:t xml:space="preserve">Un bucle de retroalimentación ocurre cuando las predicciones del modelo influyen en las decisiones de la empresa y esas decisiones cambian los datos futuros.</w:t>
      </w:r>
    </w:p>
    <w:p>
      <w:pPr>
        <w:pStyle w:val="FirstParagraph"/>
      </w:pPr>
      <w:r>
        <w:t xml:space="preserve">Ejemplo telco:</w:t>
      </w:r>
    </w:p>
    <w:p>
      <w:pPr>
        <w:pStyle w:val="BlockText"/>
      </w:pPr>
      <w:r>
        <w:t xml:space="preserve">Si el modelo predice más riesgo de abandono en una zona, la empresa puede enviar más ofertas de retención a esa zona. Eso cambia el comportamiento de los clientes. Después, cuando se entrene otro modelo con datos nuevos, esos datos ya estarán afectados por las decisiones anteriores del modelo.</w:t>
      </w:r>
    </w:p>
    <w:p>
      <w:pPr>
        <w:pStyle w:val="FirstParagraph"/>
      </w:pPr>
      <w:r>
        <w:t xml:space="preserve">Otro ejemplo:</w:t>
      </w:r>
    </w:p>
    <w:p>
      <w:pPr>
        <w:pStyle w:val="BlockText"/>
      </w:pPr>
      <w:r>
        <w:t xml:space="preserve">Si una región tiene bajo recall y el modelo no detecta a muchos clientes en riesgo, esos clientes no reciben ofertas de retención. Como consecuencia, pueden abandonar más. En el futuro, el modelo puede reforzar esa desigualdad si no se audita.</w:t>
      </w:r>
    </w:p>
    <w:p>
      <w:pPr>
        <w:pStyle w:val="FirstParagraph"/>
      </w:pPr>
      <w:r>
        <w:t xml:space="preserve">Mensaje clave:</w:t>
      </w:r>
    </w:p>
    <w:p>
      <w:pPr>
        <w:pStyle w:val="BlockText"/>
      </w:pPr>
      <w:r>
        <w:t xml:space="preserve">Los modelos de IA no solo observan el sistema. También pueden modificarlo.</w:t>
      </w:r>
    </w:p>
    <w:p>
      <w:r>
        <w:pict>
          <v:rect style="width:0;height:1.5pt" o:hralign="center" o:hrstd="t" o:hr="t"/>
        </w:pict>
      </w:r>
    </w:p>
    <w:bookmarkEnd w:id="49"/>
    <w:bookmarkStart w:id="50" w:name="celda-14.-parte-f-veredicto-y-mitigación"/>
    <w:p>
      <w:pPr>
        <w:pStyle w:val="Heading2"/>
      </w:pPr>
      <w:r>
        <w:t xml:space="preserve">Celda 14. Parte F: veredicto y mitigación</w:t>
      </w:r>
    </w:p>
    <w:p>
      <w:pPr>
        <w:pStyle w:val="FirstParagraph"/>
      </w:pPr>
      <w:r>
        <w:t xml:space="preserve">Esta celda es de texto:</w:t>
      </w:r>
    </w:p>
    <w:p>
      <w:pPr>
        <w:pStyle w:val="SourceCode"/>
      </w:pPr>
      <w:r>
        <w:rPr>
          <w:rStyle w:val="VerbatimChar"/>
        </w:rPr>
        <w:t xml:space="preserve">Parte F. Veredicto y mitigación</w:t>
      </w:r>
    </w:p>
    <w:p>
      <w:pPr>
        <w:pStyle w:val="FirstParagraph"/>
      </w:pPr>
      <w:r>
        <w:t xml:space="preserve">El notebook indica que hay que completar un veredicto razonado para el entregable.</w:t>
      </w:r>
    </w:p>
    <w:p>
      <w:pPr>
        <w:pStyle w:val="BodyText"/>
      </w:pPr>
      <w:r>
        <w:t xml:space="preserve">Guion para explicarlo:</w:t>
      </w:r>
    </w:p>
    <w:p>
      <w:pPr>
        <w:pStyle w:val="BlockText"/>
      </w:pPr>
      <w:r>
        <w:t xml:space="preserve">En una auditoría no basta con calcular métricas. Hay que terminar con una decisión: desplegar, desplegar con condiciones o no desplegar.</w:t>
      </w:r>
    </w:p>
    <w:p>
      <w:pPr>
        <w:pStyle w:val="BlockText"/>
      </w:pPr>
      <w:r>
        <w:t xml:space="preserve">Esa decisión debe estar justificada por las métricas.</w:t>
      </w:r>
    </w:p>
    <w:p>
      <w:r>
        <w:pict>
          <v:rect style="width:0;height:1.5pt" o:hralign="center" o:hrstd="t" o:hr="t"/>
        </w:pict>
      </w:r>
    </w:p>
    <w:bookmarkEnd w:id="50"/>
    <w:bookmarkStart w:id="55" w:name="celda-15.-tabla-de-medidas-de-mitigación"/>
    <w:p>
      <w:pPr>
        <w:pStyle w:val="Heading2"/>
      </w:pPr>
      <w:r>
        <w:t xml:space="preserve">Celda 15. Tabla de medidas de mitigación</w:t>
      </w:r>
    </w:p>
    <w:p>
      <w:pPr>
        <w:pStyle w:val="FirstParagraph"/>
      </w:pPr>
      <w:r>
        <w:t xml:space="preserve">La celda crea una tabla con cuatro medidas:</w:t>
      </w:r>
    </w:p>
    <w:p>
      <w:pPr>
        <w:pStyle w:val="SourceCode"/>
      </w:pPr>
      <w:r>
        <w:rPr>
          <w:rStyle w:val="VerbatimChar"/>
        </w:rPr>
        <w:t xml:space="preserve">medida                                  objetivo</w:t>
      </w:r>
      <w:r>
        <w:br/>
      </w:r>
      <w:r>
        <w:rPr>
          <w:rStyle w:val="VerbatimChar"/>
        </w:rPr>
        <w:t xml:space="preserve">Recalibrar umbrales por grupo           reducir brecha de recall sin disparar falsos positivos</w:t>
      </w:r>
      <w:r>
        <w:br/>
      </w:r>
      <w:r>
        <w:rPr>
          <w:rStyle w:val="VerbatimChar"/>
        </w:rPr>
        <w:t xml:space="preserve">Reentrenar con datos más equilibrados   mejorar rendimiento en regiones con peor accuracy</w:t>
      </w:r>
      <w:r>
        <w:br/>
      </w:r>
      <w:r>
        <w:rPr>
          <w:rStyle w:val="VerbatimChar"/>
        </w:rPr>
        <w:t xml:space="preserve">Monitorización continua                 detectar deriva de rendimiento y equidad</w:t>
      </w:r>
      <w:r>
        <w:br/>
      </w:r>
      <w:r>
        <w:rPr>
          <w:rStyle w:val="VerbatimChar"/>
        </w:rPr>
        <w:t xml:space="preserve">Model card y revisión humana            documentar limitaciones y evitar decisiones automáticas dañinas</w:t>
      </w:r>
    </w:p>
    <w:p>
      <w:pPr>
        <w:pStyle w:val="FirstParagraph"/>
      </w:pPr>
      <w:r>
        <w:t xml:space="preserve">La tabla se guarda en:</w:t>
      </w:r>
    </w:p>
    <w:p>
      <w:pPr>
        <w:pStyle w:val="SourceCode"/>
      </w:pPr>
      <w:r>
        <w:rPr>
          <w:rStyle w:val="VerbatimChar"/>
        </w:rPr>
        <w:t xml:space="preserve">outputs/lab10_mitigacion_gobernanza.csv</w:t>
      </w:r>
    </w:p>
    <w:bookmarkStart w:id="51" w:name="medida-1.-recalibrar-umbrales-por-grupo"/>
    <w:p>
      <w:pPr>
        <w:pStyle w:val="Heading3"/>
      </w:pPr>
      <w:r>
        <w:t xml:space="preserve">Medida 1. Recalibrar umbrales por grupo</w:t>
      </w:r>
    </w:p>
    <w:p>
      <w:pPr>
        <w:pStyle w:val="FirstParagraph"/>
      </w:pPr>
      <w:r>
        <w:t xml:space="preserve">Guion:</w:t>
      </w:r>
    </w:p>
    <w:p>
      <w:pPr>
        <w:pStyle w:val="BlockText"/>
      </w:pPr>
      <w:r>
        <w:t xml:space="preserve">El modelo usa un umbral para decidir si un cliente está en riesgo o no. Ajustar ese umbral puede ayudar a mejorar el recall en regiones donde se detectan pocos abandonos reales.</w:t>
      </w:r>
    </w:p>
    <w:p>
      <w:pPr>
        <w:pStyle w:val="FirstParagraph"/>
      </w:pPr>
      <w:r>
        <w:t xml:space="preserve">Cuidado:</w:t>
      </w:r>
    </w:p>
    <w:p>
      <w:pPr>
        <w:pStyle w:val="BlockText"/>
      </w:pPr>
      <w:r>
        <w:t xml:space="preserve">Hay que hacerlo con cuidado, porque si bajamos mucho el umbral podemos aumentar demasiado los falsos positivos.</w:t>
      </w:r>
    </w:p>
    <w:p>
      <w:r>
        <w:pict>
          <v:rect style="width:0;height:1.5pt" o:hralign="center" o:hrstd="t" o:hr="t"/>
        </w:pict>
      </w:r>
    </w:p>
    <w:bookmarkEnd w:id="51"/>
    <w:bookmarkStart w:id="52" w:name="X222b897bd85c9d0e86006f97ab7c25411962c6b"/>
    <w:p>
      <w:pPr>
        <w:pStyle w:val="Heading3"/>
      </w:pPr>
      <w:r>
        <w:t xml:space="preserve">Medida 2. Reentrenar con datos más equilibrados</w:t>
      </w:r>
    </w:p>
    <w:p>
      <w:pPr>
        <w:pStyle w:val="FirstParagraph"/>
      </w:pPr>
      <w:r>
        <w:t xml:space="preserve">Guion:</w:t>
      </w:r>
    </w:p>
    <w:p>
      <w:pPr>
        <w:pStyle w:val="BlockText"/>
      </w:pPr>
      <w:r>
        <w:t xml:space="preserve">Si el modelo funciona peor en zonas rurales o en determinadas regiones, puede ser porque tiene menos ejemplos, datos de peor calidad o patrones mal representados.</w:t>
      </w:r>
    </w:p>
    <w:p>
      <w:pPr>
        <w:pStyle w:val="BlockText"/>
      </w:pPr>
      <w:r>
        <w:t xml:space="preserve">Reentrenar con datos más equilibrados puede ayudar a mejorar el rendimiento.</w:t>
      </w:r>
    </w:p>
    <w:p>
      <w:r>
        <w:pict>
          <v:rect style="width:0;height:1.5pt" o:hralign="center" o:hrstd="t" o:hr="t"/>
        </w:pict>
      </w:r>
    </w:p>
    <w:bookmarkEnd w:id="52"/>
    <w:bookmarkStart w:id="53" w:name="medida-3.-monitorización-continua"/>
    <w:p>
      <w:pPr>
        <w:pStyle w:val="Heading3"/>
      </w:pPr>
      <w:r>
        <w:t xml:space="preserve">Medida 3. Monitorización continua</w:t>
      </w:r>
    </w:p>
    <w:p>
      <w:pPr>
        <w:pStyle w:val="FirstParagraph"/>
      </w:pPr>
      <w:r>
        <w:t xml:space="preserve">Guion:</w:t>
      </w:r>
    </w:p>
    <w:p>
      <w:pPr>
        <w:pStyle w:val="BlockText"/>
      </w:pPr>
      <w:r>
        <w:t xml:space="preserve">Un modelo no se audita solo una vez. Debe monitorizarse con el tiempo.</w:t>
      </w:r>
    </w:p>
    <w:p>
      <w:pPr>
        <w:pStyle w:val="BlockText"/>
      </w:pPr>
      <w:r>
        <w:t xml:space="preserve">Hay que revisar periódicamente accuracy, recall, falsos positivos, falsos negativos y métricas por grupo.</w:t>
      </w:r>
    </w:p>
    <w:p>
      <w:r>
        <w:pict>
          <v:rect style="width:0;height:1.5pt" o:hralign="center" o:hrstd="t" o:hr="t"/>
        </w:pict>
      </w:r>
    </w:p>
    <w:bookmarkEnd w:id="53"/>
    <w:bookmarkStart w:id="54" w:name="medida-4.-model-card-y-revisión-humana"/>
    <w:p>
      <w:pPr>
        <w:pStyle w:val="Heading3"/>
      </w:pPr>
      <w:r>
        <w:t xml:space="preserve">Medida 4. Model card y revisión humana</w:t>
      </w:r>
    </w:p>
    <w:p>
      <w:pPr>
        <w:pStyle w:val="FirstParagraph"/>
      </w:pPr>
      <w:r>
        <w:t xml:space="preserve">Guion:</w:t>
      </w:r>
    </w:p>
    <w:p>
      <w:pPr>
        <w:pStyle w:val="BlockText"/>
      </w:pPr>
      <w:r>
        <w:t xml:space="preserve">Una model card es una ficha del modelo. Debe documentar para qué sirve, qué datos usa, cuáles son sus limitaciones, dónde falla más y qué usos no deberían permitirse.</w:t>
      </w:r>
    </w:p>
    <w:p>
      <w:pPr>
        <w:pStyle w:val="BlockText"/>
      </w:pPr>
      <w:r>
        <w:t xml:space="preserve">La revisión humana es importante si el modelo afecta a decisiones comerciales o de atención al cliente.</w:t>
      </w:r>
    </w:p>
    <w:p>
      <w:r>
        <w:pict>
          <v:rect style="width:0;height:1.5pt" o:hralign="center" o:hrstd="t" o:hr="t"/>
        </w:pict>
      </w:r>
    </w:p>
    <w:bookmarkEnd w:id="54"/>
    <w:bookmarkEnd w:id="55"/>
    <w:bookmarkStart w:id="56" w:name="celda-16.-cierre-del-laboratorio"/>
    <w:p>
      <w:pPr>
        <w:pStyle w:val="Heading2"/>
      </w:pPr>
      <w:r>
        <w:t xml:space="preserve">Celda 16. Cierre del laboratorio</w:t>
      </w:r>
    </w:p>
    <w:p>
      <w:pPr>
        <w:pStyle w:val="FirstParagraph"/>
      </w:pPr>
      <w:r>
        <w:t xml:space="preserve">La última celda dice:</w:t>
      </w:r>
    </w:p>
    <w:p>
      <w:pPr>
        <w:pStyle w:val="SourceCode"/>
      </w:pPr>
      <w:r>
        <w:rPr>
          <w:rStyle w:val="VerbatimChar"/>
        </w:rPr>
        <w:t xml:space="preserve">Un modelo con buena accuracy global puede ser inaceptable si falla sistemáticamente para determinados grupos. El entregable debe terminar con un veredicto: desplegar, desplegar con condiciones o no desplegar.</w:t>
      </w:r>
    </w:p>
    <w:p>
      <w:pPr>
        <w:pStyle w:val="FirstParagraph"/>
      </w:pPr>
      <w:r>
        <w:t xml:space="preserve">Guion para explicarlo:</w:t>
      </w:r>
    </w:p>
    <w:p>
      <w:pPr>
        <w:pStyle w:val="BlockText"/>
      </w:pPr>
      <w:r>
        <w:t xml:space="preserve">Esta frase resume perfectamente el laboratorio. No basta con decir que el modelo acierta un 64,4 % globalmente. Hay que mirar cómo reparte sus errores.</w:t>
      </w:r>
    </w:p>
    <w:p>
      <w:pPr>
        <w:pStyle w:val="BlockText"/>
      </w:pPr>
      <w:r>
        <w:t xml:space="preserve">En este caso vemos diferencias claras por región y por tipo de zona, además de un recall bajo en general.</w:t>
      </w:r>
    </w:p>
    <w:p>
      <w:r>
        <w:pict>
          <v:rect style="width:0;height:1.5pt" o:hralign="center" o:hrstd="t" o:hr="t"/>
        </w:pict>
      </w:r>
    </w:p>
    <w:bookmarkEnd w:id="56"/>
    <w:bookmarkEnd w:id="57"/>
    <w:bookmarkStart w:id="58" w:name="veredicto-recomendado-para-este-notebook"/>
    <w:p>
      <w:pPr>
        <w:pStyle w:val="Heading1"/>
      </w:pPr>
      <w:r>
        <w:t xml:space="preserve">Veredicto recomendado para este notebook</w:t>
      </w:r>
    </w:p>
    <w:p>
      <w:pPr>
        <w:pStyle w:val="FirstParagraph"/>
      </w:pPr>
      <w:r>
        <w:t xml:space="preserve">Con los resultados que aparecen en el notebook, el veredicto más razonable sería:</w:t>
      </w:r>
    </w:p>
    <w:p>
      <w:pPr>
        <w:pStyle w:val="BlockText"/>
      </w:pPr>
      <w:r>
        <w:t xml:space="preserve">No desplegar el modelo para decisiones automáticas de retención sin correcciones previas.</w:t>
      </w:r>
    </w:p>
    <w:p>
      <w:pPr>
        <w:pStyle w:val="FirstParagraph"/>
      </w:pPr>
      <w:r>
        <w:t xml:space="preserve">O, si se quiere ser algo menos restrictivo:</w:t>
      </w:r>
    </w:p>
    <w:p>
      <w:pPr>
        <w:pStyle w:val="BlockText"/>
      </w:pPr>
      <w:r>
        <w:t xml:space="preserve">Desplegar solo con condiciones estrictas, revisión humana y monitorización por grupo.</w:t>
      </w:r>
    </w:p>
    <w:p>
      <w:pPr>
        <w:pStyle w:val="FirstParagraph"/>
      </w:pPr>
      <w:r>
        <w:t xml:space="preserve">Justificación:</w:t>
      </w:r>
    </w:p>
    <w:p>
      <w:pPr>
        <w:pStyle w:val="Compact"/>
        <w:numPr>
          <w:ilvl w:val="0"/>
          <w:numId w:val="1007"/>
        </w:numPr>
      </w:pPr>
      <w:r>
        <w:t xml:space="preserve">La accuracy global es 0,644, no especialmente alta.</w:t>
      </w:r>
    </w:p>
    <w:p>
      <w:pPr>
        <w:pStyle w:val="Compact"/>
        <w:numPr>
          <w:ilvl w:val="0"/>
          <w:numId w:val="1007"/>
        </w:numPr>
      </w:pPr>
      <w:r>
        <w:t xml:space="preserve">La accuracy varía por región: Zaragoza 0,580 frente a Madrid 0,706.</w:t>
      </w:r>
    </w:p>
    <w:p>
      <w:pPr>
        <w:pStyle w:val="Compact"/>
        <w:numPr>
          <w:ilvl w:val="0"/>
          <w:numId w:val="1007"/>
        </w:numPr>
      </w:pPr>
      <w:r>
        <w:t xml:space="preserve">La accuracy también varía por tipo de zona: rural 0,593 frente a urbana 0,686.</w:t>
      </w:r>
    </w:p>
    <w:p>
      <w:pPr>
        <w:pStyle w:val="Compact"/>
        <w:numPr>
          <w:ilvl w:val="0"/>
          <w:numId w:val="1007"/>
        </w:numPr>
      </w:pPr>
      <w:r>
        <w:t xml:space="preserve">El recall es bajo en todas las regiones.</w:t>
      </w:r>
    </w:p>
    <w:p>
      <w:pPr>
        <w:pStyle w:val="Compact"/>
        <w:numPr>
          <w:ilvl w:val="0"/>
          <w:numId w:val="1007"/>
        </w:numPr>
      </w:pPr>
      <w:r>
        <w:t xml:space="preserve">Barcelona tiene un recall especialmente bajo: 0,135.</w:t>
      </w:r>
    </w:p>
    <w:p>
      <w:pPr>
        <w:pStyle w:val="Compact"/>
        <w:numPr>
          <w:ilvl w:val="0"/>
          <w:numId w:val="1007"/>
        </w:numPr>
      </w:pPr>
      <w:r>
        <w:t xml:space="preserve">La brecha de recall entre regiones es 0,224.</w:t>
      </w:r>
    </w:p>
    <w:p>
      <w:pPr>
        <w:pStyle w:val="Compact"/>
        <w:numPr>
          <w:ilvl w:val="0"/>
          <w:numId w:val="1007"/>
        </w:numPr>
      </w:pPr>
      <w:r>
        <w:t xml:space="preserve">La tasa de positivos varía entre Madrid 0,124 y Valencia 0,264.</w:t>
      </w:r>
    </w:p>
    <w:p>
      <w:pPr>
        <w:pStyle w:val="Compact"/>
        <w:numPr>
          <w:ilvl w:val="0"/>
          <w:numId w:val="1007"/>
        </w:numPr>
      </w:pPr>
      <w:r>
        <w:rPr>
          <w:rStyle w:val="VerbatimChar"/>
        </w:rPr>
        <w:t xml:space="preserve">region</w:t>
      </w:r>
      <w:r>
        <w:t xml:space="preserve"> </w:t>
      </w:r>
      <w:r>
        <w:t xml:space="preserve">y</w:t>
      </w:r>
      <w:r>
        <w:t xml:space="preserve"> </w:t>
      </w:r>
      <w:r>
        <w:rPr>
          <w:rStyle w:val="VerbatimChar"/>
        </w:rPr>
        <w:t xml:space="preserve">zone_type</w:t>
      </w:r>
      <w:r>
        <w:t xml:space="preserve"> </w:t>
      </w:r>
      <w:r>
        <w:t xml:space="preserve">pueden actuar como variables proxy territoriales.</w:t>
      </w:r>
    </w:p>
    <w:p>
      <w:pPr>
        <w:pStyle w:val="FirstParagraph"/>
      </w:pPr>
      <w:r>
        <w:t xml:space="preserve">Guion para explicarlo:</w:t>
      </w:r>
    </w:p>
    <w:p>
      <w:pPr>
        <w:pStyle w:val="BlockText"/>
      </w:pPr>
      <w:r>
        <w:t xml:space="preserve">Si este modelo se usara automáticamente para decidir qué clientes reciben ofertas de retención, podría perjudicar a algunos grupos porque detecta peor el riesgo de abandono en ciertas regiones.</w:t>
      </w:r>
    </w:p>
    <w:p>
      <w:pPr>
        <w:pStyle w:val="BlockText"/>
      </w:pPr>
      <w:r>
        <w:t xml:space="preserve">Por tanto, antes de producción habría que recalibrar, reentrenar, revisar datos, monitorizar métricas por grupo y mantener supervisión humana.</w:t>
      </w:r>
    </w:p>
    <w:p>
      <w:r>
        <w:pict>
          <v:rect style="width:0;height:1.5pt" o:hralign="center" o:hrstd="t" o:hr="t"/>
        </w:pict>
      </w:r>
    </w:p>
    <w:bookmarkEnd w:id="58"/>
    <w:bookmarkStart w:id="59" w:name="X1872e42cf1b47c7349830d9894f2470503df4a7"/>
    <w:p>
      <w:pPr>
        <w:pStyle w:val="Heading1"/>
      </w:pPr>
      <w:r>
        <w:t xml:space="preserve">Cierre didáctico para explicar al alumnado</w:t>
      </w:r>
    </w:p>
    <w:p>
      <w:pPr>
        <w:pStyle w:val="FirstParagraph"/>
      </w:pPr>
      <w:r>
        <w:t xml:space="preserve">Puedes cerrar el laboratorio con este mensaje:</w:t>
      </w:r>
    </w:p>
    <w:p>
      <w:pPr>
        <w:pStyle w:val="BlockText"/>
      </w:pPr>
      <w:r>
        <w:t xml:space="preserve">En este Lab 10 hemos auditado un modelo de churn de una operadora telco. Hemos comprobado que no basta con mirar la accuracy global. Aunque el modelo tiene una accuracy de 0,644, su rendimiento cambia bastante según la región y el tipo de zona.</w:t>
      </w:r>
    </w:p>
    <w:p>
      <w:pPr>
        <w:pStyle w:val="BlockText"/>
      </w:pPr>
      <w:r>
        <w:t xml:space="preserve">También hemos visto que el recall es bajo, lo que significa que el modelo deja escapar muchos clientes que realmente abandonan. Esto es especialmente importante en un caso de churn, porque el objetivo principal suele ser detectar a tiempo a los clientes en riesgo.</w:t>
      </w:r>
    </w:p>
    <w:p>
      <w:pPr>
        <w:pStyle w:val="BlockText"/>
      </w:pPr>
      <w:r>
        <w:t xml:space="preserve">Además, hemos analizado métricas de equidad como la paridad demográfica y la igualdad de oportunidades. La brecha de recall muestra que el modelo no detecta igual de bien los abandonos en todas las regiones.</w:t>
      </w:r>
    </w:p>
    <w:p>
      <w:pPr>
        <w:pStyle w:val="BlockText"/>
      </w:pPr>
      <w:r>
        <w:t xml:space="preserve">Finalmente, hemos visto que variables como</w:t>
      </w:r>
      <w:r>
        <w:t xml:space="preserve"> </w:t>
      </w:r>
      <w:r>
        <w:rPr>
          <w:rStyle w:val="VerbatimChar"/>
        </w:rPr>
        <w:t xml:space="preserve">region</w:t>
      </w:r>
      <w:r>
        <w:t xml:space="preserve"> </w:t>
      </w:r>
      <w:r>
        <w:t xml:space="preserve">o</w:t>
      </w:r>
      <w:r>
        <w:t xml:space="preserve"> </w:t>
      </w:r>
      <w:r>
        <w:rPr>
          <w:rStyle w:val="VerbatimChar"/>
        </w:rPr>
        <w:t xml:space="preserve">zone_type</w:t>
      </w:r>
      <w:r>
        <w:t xml:space="preserve"> </w:t>
      </w:r>
      <w:r>
        <w:t xml:space="preserve">pueden actuar como proxies de desigualdad territorial. No siempre hay que eliminarlas, pero sí deben documentarse, auditarse y controlarse.</w:t>
      </w:r>
    </w:p>
    <w:p>
      <w:pPr>
        <w:pStyle w:val="BlockText"/>
      </w:pPr>
      <w:r>
        <w:t xml:space="preserve">La conclusión principal es que una IA no debe aprobarse solo porque tenga una métrica global aceptable. Hay que revisar sus errores, su impacto por grupos y las consecuencias de usarla en decisiones reales.</w:t>
      </w:r>
    </w:p>
    <w:p>
      <w:r>
        <w:pict>
          <v:rect style="width:0;height:1.5pt" o:hralign="center" o:hrstd="t" o:hr="t"/>
        </w:pict>
      </w:r>
    </w:p>
    <w:bookmarkEnd w:id="59"/>
    <w:bookmarkStart w:id="60" w:name="ideas-para-preguntar-a-los-alumnos"/>
    <w:p>
      <w:pPr>
        <w:pStyle w:val="Heading1"/>
      </w:pPr>
      <w:r>
        <w:t xml:space="preserve">Ideas para preguntar a los alumnos</w:t>
      </w:r>
    </w:p>
    <w:p>
      <w:pPr>
        <w:numPr>
          <w:ilvl w:val="0"/>
          <w:numId w:val="1008"/>
        </w:numPr>
      </w:pPr>
      <w:r>
        <w:t xml:space="preserve">¿Por qué no basta con mirar la accuracy global del modelo?</w:t>
      </w:r>
    </w:p>
    <w:p>
      <w:pPr>
        <w:numPr>
          <w:ilvl w:val="0"/>
          <w:numId w:val="1008"/>
        </w:numPr>
      </w:pPr>
      <w:r>
        <w:t xml:space="preserve">¿Qué significa que Zaragoza tenga una accuracy de 0,580 y Madrid de 0,706?</w:t>
      </w:r>
    </w:p>
    <w:p>
      <w:pPr>
        <w:numPr>
          <w:ilvl w:val="0"/>
          <w:numId w:val="1008"/>
        </w:numPr>
      </w:pPr>
      <w:r>
        <w:t xml:space="preserve">¿Por qué puede ser problemático que el recall de Barcelona sea 0,135?</w:t>
      </w:r>
    </w:p>
    <w:p>
      <w:pPr>
        <w:numPr>
          <w:ilvl w:val="0"/>
          <w:numId w:val="1008"/>
        </w:numPr>
      </w:pPr>
      <w:r>
        <w:t xml:space="preserve">En un modelo de churn, ¿qué es más grave: un falso positivo o un falso negativo?</w:t>
      </w:r>
    </w:p>
    <w:p>
      <w:pPr>
        <w:numPr>
          <w:ilvl w:val="0"/>
          <w:numId w:val="1008"/>
        </w:numPr>
      </w:pPr>
      <w:r>
        <w:t xml:space="preserve">¿Qué significa la tasa de positivos por región?</w:t>
      </w:r>
    </w:p>
    <w:p>
      <w:pPr>
        <w:numPr>
          <w:ilvl w:val="0"/>
          <w:numId w:val="1008"/>
        </w:numPr>
      </w:pPr>
      <w:r>
        <w:t xml:space="preserve">¿Qué representa la brecha de recall?</w:t>
      </w:r>
    </w:p>
    <w:p>
      <w:pPr>
        <w:numPr>
          <w:ilvl w:val="0"/>
          <w:numId w:val="1008"/>
        </w:numPr>
      </w:pPr>
      <w:r>
        <w:t xml:space="preserve">¿Por qué</w:t>
      </w:r>
      <w:r>
        <w:t xml:space="preserve"> </w:t>
      </w:r>
      <w:r>
        <w:rPr>
          <w:rStyle w:val="VerbatimChar"/>
        </w:rPr>
        <w:t xml:space="preserve">zone_type</w:t>
      </w:r>
      <w:r>
        <w:t xml:space="preserve"> </w:t>
      </w:r>
      <w:r>
        <w:t xml:space="preserve">puede actuar como variable proxy?</w:t>
      </w:r>
    </w:p>
    <w:p>
      <w:pPr>
        <w:numPr>
          <w:ilvl w:val="0"/>
          <w:numId w:val="1008"/>
        </w:numPr>
      </w:pPr>
      <w:r>
        <w:t xml:space="preserve">¿Siempre hay que eliminar una variable proxy del modelo?</w:t>
      </w:r>
    </w:p>
    <w:p>
      <w:pPr>
        <w:numPr>
          <w:ilvl w:val="0"/>
          <w:numId w:val="1008"/>
        </w:numPr>
      </w:pPr>
      <w:r>
        <w:t xml:space="preserve">¿Qué medidas aplicarías antes de desplegar este modelo?</w:t>
      </w:r>
    </w:p>
    <w:p>
      <w:pPr>
        <w:numPr>
          <w:ilvl w:val="0"/>
          <w:numId w:val="1008"/>
        </w:numPr>
      </w:pPr>
      <w:r>
        <w:t xml:space="preserve">¿Cuál sería tu veredicto: desplegar, desplegar con condiciones o no desplegar?</w:t>
      </w:r>
    </w:p>
    <w:p>
      <w:r>
        <w:pict>
          <v:rect style="width:0;height:1.5pt" o:hralign="center" o:hrstd="t" o:hr="t"/>
        </w:pict>
      </w:r>
    </w:p>
    <w:bookmarkEnd w:id="60"/>
    <w:bookmarkStart w:id="61" w:name="mensaje-clave-del-lab-10"/>
    <w:p>
      <w:pPr>
        <w:pStyle w:val="Heading1"/>
      </w:pPr>
      <w:r>
        <w:t xml:space="preserve">Mensaje clave del Lab 10</w:t>
      </w:r>
    </w:p>
    <w:p>
      <w:pPr>
        <w:pStyle w:val="FirstParagraph"/>
      </w:pPr>
      <w:r>
        <w:t xml:space="preserve">La idea principal del Lab 10 es:</w:t>
      </w:r>
    </w:p>
    <w:p>
      <w:pPr>
        <w:pStyle w:val="BlockText"/>
      </w:pPr>
      <w:r>
        <w:t xml:space="preserve">Un modelo de IA no debe evaluarse solo por su accuracy global. Debe auditarse por grupos, revisar sus errores, detectar posibles sesgos y desplegarse solo con controles adecuados.</w:t>
      </w:r>
    </w:p>
    <w:p>
      <w:pPr>
        <w:pStyle w:val="FirstParagraph"/>
      </w:pPr>
      <w:r>
        <w:t xml:space="preserve">Otra forma sencilla de explicarlo al alumnado:</w:t>
      </w:r>
    </w:p>
    <w:p>
      <w:pPr>
        <w:pStyle w:val="BlockText"/>
      </w:pPr>
      <w:r>
        <w:t xml:space="preserve">No basta con que el modelo acierte de media; hay que saber a quién falla, cómo falla y qué consecuencias tienen esos errores.</w:t>
      </w:r>
    </w:p>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2026-07-08T08:37:04Z</dcterms:created>
  <dcterms:modified xsi:type="dcterms:W3CDTF">2026-07-08T08:37:04Z</dcterms:modified>
</cp:coreProperties>
</file>

<file path=docProps/custom.xml><?xml version="1.0" encoding="utf-8"?>
<Properties xmlns="http://schemas.openxmlformats.org/officeDocument/2006/custom-properties" xmlns:vt="http://schemas.openxmlformats.org/officeDocument/2006/docPropsVTypes"/>
</file>