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80"/>
        <w:jc w:val="start"/>
        <w:rPr/>
      </w:pPr>
      <w:r>
        <w:rPr/>
        <w:t>Laporan Perbandingan Simulasi SCC dengan Data Irradiance NASA POWER</w:t>
      </w:r>
    </w:p>
    <w:p>
      <w:pPr>
        <w:pStyle w:val="BodyTextmeta"/>
        <w:pBdr>
          <w:left w:val="single" w:sz="24" w:space="9" w:color="2563EB"/>
        </w:pBdr>
        <w:bidi w:val="0"/>
        <w:jc w:val="start"/>
        <w:rPr/>
      </w:pPr>
      <w:r>
        <w:rPr/>
        <w:t xml:space="preserve">Lokasi simulasi: Setiabudhi/Bandung sekitar latitude -6.86 dan longitude 107.59. Data project diambil dari tabel </w:t>
      </w:r>
      <w:r>
        <w:rPr>
          <w:rStyle w:val="SourceText"/>
        </w:rPr>
        <w:t>scc_data</w:t>
      </w:r>
      <w:r>
        <w:rPr/>
        <w:t xml:space="preserve">. Data pembanding memakai NASA POWER Hourly API parameter </w:t>
      </w:r>
      <w:r>
        <w:rPr>
          <w:rStyle w:val="SourceText"/>
        </w:rPr>
        <w:t>ALLSKY_SFC_SW_DWN</w:t>
      </w:r>
      <w:r>
        <w:rPr/>
        <w:t xml:space="preserve">, </w:t>
      </w:r>
      <w:r>
        <w:rPr>
          <w:rStyle w:val="SourceText"/>
        </w:rPr>
        <w:t>CLOUD_AMT</w:t>
      </w:r>
      <w:r>
        <w:rPr/>
        <w:t xml:space="preserve">, dan </w:t>
      </w:r>
      <w:r>
        <w:rPr>
          <w:rStyle w:val="SourceText"/>
        </w:rPr>
        <w:t>T2M</w:t>
      </w:r>
      <w:r>
        <w:rPr/>
        <w:t>.</w:t>
      </w:r>
    </w:p>
    <w:p>
      <w:pPr>
        <w:pStyle w:val="Heading2"/>
        <w:numPr>
          <w:ilvl w:val="0"/>
          <w:numId w:val="0"/>
        </w:numPr>
        <w:bidi w:val="0"/>
        <w:spacing w:before="330" w:after="120"/>
        <w:ind w:start="330" w:end="330"/>
        <w:jc w:val="start"/>
        <w:rPr/>
      </w:pPr>
      <w:r>
        <w:rPr/>
        <w:t>Ringkasan</w:t>
      </w:r>
    </w:p>
    <w:tbl>
      <w:tblPr>
        <w:tblW w:w="10318" w:type="dxa"/>
        <w:jc w:val="start"/>
        <w:tblInd w:w="0" w:type="dxa"/>
        <w:tblLayout w:type="fixed"/>
        <w:tblCellMar>
          <w:top w:w="28" w:type="dxa"/>
          <w:start w:w="28" w:type="dxa"/>
          <w:bottom w:w="28" w:type="dxa"/>
          <w:end w:w="28" w:type="dxa"/>
        </w:tblCellMar>
      </w:tblPr>
      <w:tblGrid>
        <w:gridCol w:w="2185"/>
        <w:gridCol w:w="8133"/>
      </w:tblGrid>
      <w:tr>
        <w:trPr/>
        <w:tc>
          <w:tcPr>
            <w:tcW w:w="2185" w:type="dxa"/>
            <w:tcBorders/>
            <w:vAlign w:val="center"/>
          </w:tcPr>
          <w:p>
            <w:pPr>
              <w:pStyle w:val="TableHeading"/>
              <w:suppressLineNumbers/>
              <w:bidi w:val="0"/>
              <w:spacing w:before="0" w:after="283"/>
              <w:jc w:val="start"/>
              <w:rPr/>
            </w:pPr>
            <w:r>
              <w:rPr/>
              <w:t>Jumlah record SCC</w:t>
            </w:r>
          </w:p>
        </w:tc>
        <w:tc>
          <w:tcPr>
            <w:tcW w:w="8133" w:type="dxa"/>
            <w:tcBorders/>
            <w:vAlign w:val="center"/>
          </w:tcPr>
          <w:p>
            <w:pPr>
              <w:pStyle w:val="TableContents"/>
              <w:bidi w:val="0"/>
              <w:spacing w:before="0" w:after="283"/>
              <w:jc w:val="start"/>
              <w:rPr/>
            </w:pPr>
            <w:r>
              <w:rPr/>
              <w:t>162 record</w:t>
            </w:r>
          </w:p>
        </w:tc>
      </w:tr>
      <w:tr>
        <w:trPr/>
        <w:tc>
          <w:tcPr>
            <w:tcW w:w="2185" w:type="dxa"/>
            <w:tcBorders/>
            <w:vAlign w:val="center"/>
          </w:tcPr>
          <w:p>
            <w:pPr>
              <w:pStyle w:val="TableHeading"/>
              <w:suppressLineNumbers/>
              <w:bidi w:val="0"/>
              <w:spacing w:before="0" w:after="283"/>
              <w:jc w:val="start"/>
              <w:rPr/>
            </w:pPr>
            <w:r>
              <w:rPr/>
              <w:t>Jumlah agregasi per jam</w:t>
            </w:r>
          </w:p>
        </w:tc>
        <w:tc>
          <w:tcPr>
            <w:tcW w:w="8133" w:type="dxa"/>
            <w:tcBorders/>
            <w:vAlign w:val="center"/>
          </w:tcPr>
          <w:p>
            <w:pPr>
              <w:pStyle w:val="TableContents"/>
              <w:bidi w:val="0"/>
              <w:spacing w:before="0" w:after="283"/>
              <w:jc w:val="start"/>
              <w:rPr/>
            </w:pPr>
            <w:r>
              <w:rPr/>
              <w:t>4 jam</w:t>
            </w:r>
          </w:p>
        </w:tc>
      </w:tr>
      <w:tr>
        <w:trPr/>
        <w:tc>
          <w:tcPr>
            <w:tcW w:w="2185" w:type="dxa"/>
            <w:tcBorders/>
            <w:vAlign w:val="center"/>
          </w:tcPr>
          <w:p>
            <w:pPr>
              <w:pStyle w:val="TableHeading"/>
              <w:suppressLineNumbers/>
              <w:bidi w:val="0"/>
              <w:spacing w:before="0" w:after="283"/>
              <w:jc w:val="start"/>
              <w:rPr/>
            </w:pPr>
            <w:r>
              <w:rPr/>
              <w:t>Rentang data project</w:t>
            </w:r>
          </w:p>
        </w:tc>
        <w:tc>
          <w:tcPr>
            <w:tcW w:w="8133" w:type="dxa"/>
            <w:tcBorders/>
            <w:vAlign w:val="center"/>
          </w:tcPr>
          <w:p>
            <w:pPr>
              <w:pStyle w:val="TableContents"/>
              <w:bidi w:val="0"/>
              <w:spacing w:before="0" w:after="283"/>
              <w:jc w:val="start"/>
              <w:rPr/>
            </w:pPr>
            <w:r>
              <w:rPr/>
              <w:t>12 May 2026 05:00 WIB sampai 15 May 2026 03:00 WIB</w:t>
            </w:r>
          </w:p>
        </w:tc>
      </w:tr>
      <w:tr>
        <w:trPr/>
        <w:tc>
          <w:tcPr>
            <w:tcW w:w="2185" w:type="dxa"/>
            <w:tcBorders/>
            <w:vAlign w:val="center"/>
          </w:tcPr>
          <w:p>
            <w:pPr>
              <w:pStyle w:val="TableHeading"/>
              <w:suppressLineNumbers/>
              <w:bidi w:val="0"/>
              <w:spacing w:before="0" w:after="283"/>
              <w:jc w:val="start"/>
              <w:rPr/>
            </w:pPr>
            <w:r>
              <w:rPr/>
              <w:t>Rata-rata daya panel simulasi</w:t>
            </w:r>
          </w:p>
        </w:tc>
        <w:tc>
          <w:tcPr>
            <w:tcW w:w="8133" w:type="dxa"/>
            <w:tcBorders/>
            <w:vAlign w:val="center"/>
          </w:tcPr>
          <w:p>
            <w:pPr>
              <w:pStyle w:val="TableContents"/>
              <w:bidi w:val="0"/>
              <w:spacing w:before="0" w:after="283"/>
              <w:jc w:val="start"/>
              <w:rPr/>
            </w:pPr>
            <w:r>
              <w:rPr/>
              <w:t>38.31 W</w:t>
            </w:r>
          </w:p>
        </w:tc>
      </w:tr>
      <w:tr>
        <w:trPr/>
        <w:tc>
          <w:tcPr>
            <w:tcW w:w="2185" w:type="dxa"/>
            <w:tcBorders/>
            <w:vAlign w:val="center"/>
          </w:tcPr>
          <w:p>
            <w:pPr>
              <w:pStyle w:val="TableHeading"/>
              <w:suppressLineNumbers/>
              <w:bidi w:val="0"/>
              <w:spacing w:before="0" w:after="283"/>
              <w:jc w:val="start"/>
              <w:rPr/>
            </w:pPr>
            <w:r>
              <w:rPr/>
              <w:t>Maksimum daya panel simulasi</w:t>
            </w:r>
          </w:p>
        </w:tc>
        <w:tc>
          <w:tcPr>
            <w:tcW w:w="8133" w:type="dxa"/>
            <w:tcBorders/>
            <w:vAlign w:val="center"/>
          </w:tcPr>
          <w:p>
            <w:pPr>
              <w:pStyle w:val="TableContents"/>
              <w:bidi w:val="0"/>
              <w:spacing w:before="0" w:after="283"/>
              <w:jc w:val="start"/>
              <w:rPr/>
            </w:pPr>
            <w:r>
              <w:rPr/>
              <w:t>43.89 W</w:t>
            </w:r>
          </w:p>
        </w:tc>
      </w:tr>
      <w:tr>
        <w:trPr/>
        <w:tc>
          <w:tcPr>
            <w:tcW w:w="2185" w:type="dxa"/>
            <w:tcBorders/>
            <w:vAlign w:val="center"/>
          </w:tcPr>
          <w:p>
            <w:pPr>
              <w:pStyle w:val="TableHeading"/>
              <w:suppressLineNumbers/>
              <w:bidi w:val="0"/>
              <w:spacing w:before="0" w:after="283"/>
              <w:jc w:val="start"/>
              <w:rPr/>
            </w:pPr>
            <w:r>
              <w:rPr/>
              <w:t>Rata-rata irradiance NASA referensi</w:t>
            </w:r>
          </w:p>
        </w:tc>
        <w:tc>
          <w:tcPr>
            <w:tcW w:w="8133" w:type="dxa"/>
            <w:tcBorders/>
            <w:vAlign w:val="center"/>
          </w:tcPr>
          <w:p>
            <w:pPr>
              <w:pStyle w:val="TableContents"/>
              <w:bidi w:val="0"/>
              <w:spacing w:before="0" w:after="283"/>
              <w:jc w:val="start"/>
              <w:rPr/>
            </w:pPr>
            <w:r>
              <w:rPr/>
              <w:t>12.51 Wh/m² per jam</w:t>
            </w:r>
          </w:p>
        </w:tc>
      </w:tr>
      <w:tr>
        <w:trPr/>
        <w:tc>
          <w:tcPr>
            <w:tcW w:w="2185" w:type="dxa"/>
            <w:tcBorders/>
            <w:vAlign w:val="center"/>
          </w:tcPr>
          <w:p>
            <w:pPr>
              <w:pStyle w:val="TableHeading"/>
              <w:suppressLineNumbers/>
              <w:bidi w:val="0"/>
              <w:spacing w:before="0" w:after="283"/>
              <w:jc w:val="start"/>
              <w:rPr/>
            </w:pPr>
            <w:r>
              <w:rPr/>
              <w:t>Maksimum irradiance NASA referensi</w:t>
            </w:r>
          </w:p>
        </w:tc>
        <w:tc>
          <w:tcPr>
            <w:tcW w:w="8133" w:type="dxa"/>
            <w:tcBorders/>
            <w:vAlign w:val="center"/>
          </w:tcPr>
          <w:p>
            <w:pPr>
              <w:pStyle w:val="TableContents"/>
              <w:bidi w:val="0"/>
              <w:spacing w:before="0" w:after="283"/>
              <w:jc w:val="start"/>
              <w:rPr/>
            </w:pPr>
            <w:r>
              <w:rPr/>
              <w:t>50.03 Wh/m² per jam</w:t>
            </w:r>
          </w:p>
        </w:tc>
      </w:tr>
      <w:tr>
        <w:trPr/>
        <w:tc>
          <w:tcPr>
            <w:tcW w:w="2185" w:type="dxa"/>
            <w:tcBorders/>
            <w:vAlign w:val="center"/>
          </w:tcPr>
          <w:p>
            <w:pPr>
              <w:pStyle w:val="TableHeading"/>
              <w:suppressLineNumbers/>
              <w:bidi w:val="0"/>
              <w:spacing w:before="0" w:after="283"/>
              <w:jc w:val="start"/>
              <w:rPr/>
            </w:pPr>
            <w:r>
              <w:rPr/>
              <w:t>Kesesuaian pola jam yang tersedia</w:t>
            </w:r>
          </w:p>
        </w:tc>
        <w:tc>
          <w:tcPr>
            <w:tcW w:w="8133" w:type="dxa"/>
            <w:tcBorders/>
            <w:vAlign w:val="center"/>
          </w:tcPr>
          <w:p>
            <w:pPr>
              <w:pStyle w:val="TableContents"/>
              <w:bidi w:val="0"/>
              <w:spacing w:before="0" w:after="283"/>
              <w:jc w:val="start"/>
              <w:rPr/>
            </w:pPr>
            <w:r>
              <w:rPr/>
              <w:t>0.0%</w:t>
            </w:r>
          </w:p>
        </w:tc>
      </w:tr>
      <w:tr>
        <w:trPr/>
        <w:tc>
          <w:tcPr>
            <w:tcW w:w="2185" w:type="dxa"/>
            <w:tcBorders/>
            <w:vAlign w:val="center"/>
          </w:tcPr>
          <w:p>
            <w:pPr>
              <w:pStyle w:val="TableHeading"/>
              <w:suppressLineNumbers/>
              <w:bidi w:val="0"/>
              <w:spacing w:before="0" w:after="283"/>
              <w:jc w:val="start"/>
              <w:rPr/>
            </w:pPr>
            <w:r>
              <w:rPr/>
              <w:t>Status demo project</w:t>
            </w:r>
          </w:p>
        </w:tc>
        <w:tc>
          <w:tcPr>
            <w:tcW w:w="8133" w:type="dxa"/>
            <w:tcBorders/>
            <w:vAlign w:val="center"/>
          </w:tcPr>
          <w:p>
            <w:pPr>
              <w:pStyle w:val="TableContents"/>
              <w:bidi w:val="0"/>
              <w:spacing w:before="0" w:after="283"/>
              <w:jc w:val="start"/>
              <w:rPr/>
            </w:pPr>
            <w:r>
              <w:rPr/>
              <w:t>BMKG_WEATHER_DEMO_MODE=true, sehingga simulator dapat menghasilkan daya panel untuk kebutuhan presentasi walaupun timestamp berada di luar jam efektif matahari.</w:t>
            </w:r>
          </w:p>
        </w:tc>
      </w:tr>
    </w:tbl>
    <w:p>
      <w:pPr>
        <w:pStyle w:val="Heading2"/>
        <w:numPr>
          <w:ilvl w:val="0"/>
          <w:numId w:val="0"/>
        </w:numPr>
        <w:bidi w:val="0"/>
        <w:spacing w:before="330" w:after="120"/>
        <w:ind w:start="330" w:end="330"/>
        <w:jc w:val="start"/>
        <w:rPr/>
      </w:pPr>
      <w:r>
        <w:rPr/>
        <w:t>Metode Perbandingan</w:t>
      </w:r>
    </w:p>
    <w:p>
      <w:pPr>
        <w:pStyle w:val="BodyText"/>
        <w:bidi w:val="0"/>
        <w:spacing w:before="0" w:after="283"/>
        <w:jc w:val="start"/>
        <w:rPr/>
      </w:pPr>
      <w:r>
        <w:rPr/>
        <w:t xml:space="preserve">Project SCC ini menghasilkan data simulasi panel berupa </w:t>
      </w:r>
      <w:r>
        <w:rPr>
          <w:rStyle w:val="SourceText"/>
        </w:rPr>
        <w:t>Vpv</w:t>
      </w:r>
      <w:r>
        <w:rPr/>
        <w:t xml:space="preserve"> dan </w:t>
      </w:r>
      <w:r>
        <w:rPr>
          <w:rStyle w:val="SourceText"/>
        </w:rPr>
        <w:t>Ipv</w:t>
      </w:r>
      <w:r>
        <w:rPr/>
        <w:t xml:space="preserve">. Daya panel simulasi dihitung dengan rumus </w:t>
      </w:r>
      <w:r>
        <w:rPr>
          <w:rStyle w:val="SourceText"/>
        </w:rPr>
        <w:t>Ppanel = Vpv × Ipv</w:t>
      </w:r>
      <w:r>
        <w:rPr/>
        <w:t xml:space="preserve">. Nilai tersebut dibandingkan dengan data radiasi matahari publik NASA POWER, yaitu </w:t>
      </w:r>
      <w:r>
        <w:rPr>
          <w:rStyle w:val="SourceText"/>
        </w:rPr>
        <w:t>ALLSKY_SFC_SW_DWN</w:t>
      </w:r>
      <w:r>
        <w:rPr/>
        <w:t>.</w:t>
      </w:r>
    </w:p>
    <w:p>
      <w:pPr>
        <w:pStyle w:val="BodyText"/>
        <w:bidi w:val="0"/>
        <w:spacing w:before="0" w:after="283"/>
        <w:jc w:val="start"/>
        <w:rPr/>
      </w:pPr>
      <w:r>
        <w:rPr/>
        <w:t>Karena data SCC di project adalah demo tahun 2026 dan NASA POWER belum menyediakan nilai irradiance hourly yang valid untuk tanggal tersebut, laporan ini memakai tanggal kalender yang sama pada tahun 2025 sebagai baseline historis. Perbandingan difokuskan pada pola, bukan kalibrasi absolut: saat irradiance tinggi, daya panel simulasi seharusnya tinggi; saat irradiance nol/rendah, daya panel seharusnya rendah.</w:t>
      </w:r>
    </w:p>
    <w:p>
      <w:pPr>
        <w:pStyle w:val="BodyText"/>
        <w:bidi w:val="0"/>
        <w:spacing w:before="0" w:after="283"/>
        <w:jc w:val="start"/>
        <w:rPr/>
      </w:pPr>
      <w:r>
        <w:rPr/>
        <w:t>Catatan penting: data project yang tersedia pada database saat laporan dibuat berada pada pukul 02:00-06:00 WIB. Pada jam tersebut, data NASA menunjukkan irradiance nol atau sangat rendah. Karena project sedang berjalan dalam mode demo, simulator masih dapat membuat daya panel puluhan watt agar dashboard presentasi tetap bergerak. Hal ini membuat perbandingan timestamp langsung menunjukkan ketidaksesuaian, tetapi sekaligus menjadi bukti batasan simulasi yang perlu dijelaskan saat UAS.</w:t>
      </w:r>
    </w:p>
    <w:p>
      <w:pPr>
        <w:pStyle w:val="Heading2"/>
        <w:numPr>
          <w:ilvl w:val="0"/>
          <w:numId w:val="0"/>
        </w:numPr>
        <w:bidi w:val="0"/>
        <w:spacing w:before="330" w:after="120"/>
        <w:ind w:start="330" w:end="330"/>
        <w:jc w:val="start"/>
        <w:rPr/>
      </w:pPr>
      <w:r>
        <w:rPr/>
        <w:t>Tabel Perbandingan per Jam</w:t>
      </w:r>
    </w:p>
    <w:p>
      <w:pPr>
        <w:pStyle w:val="BodyText"/>
        <w:bidi w:val="0"/>
        <w:spacing w:before="0" w:after="283"/>
        <w:jc w:val="start"/>
        <w:rPr/>
      </w:pPr>
      <w:r>
        <w:rPr/>
        <w:t>Tabel dibuat ringkas agar mudah dibaca di dokumen. Detail fase, cloud, suhu, dan interpretasi ditulis setelah tabel.</w:t>
      </w:r>
    </w:p>
    <w:tbl>
      <w:tblPr>
        <w:tblW w:w="10318" w:type="dxa"/>
        <w:jc w:val="start"/>
        <w:tblInd w:w="0" w:type="dxa"/>
        <w:tblLayout w:type="fixed"/>
        <w:tblCellMar>
          <w:top w:w="28" w:type="dxa"/>
          <w:start w:w="28" w:type="dxa"/>
          <w:bottom w:w="28" w:type="dxa"/>
          <w:end w:w="28" w:type="dxa"/>
        </w:tblCellMar>
      </w:tblPr>
      <w:tblGrid>
        <w:gridCol w:w="400"/>
        <w:gridCol w:w="2087"/>
        <w:gridCol w:w="2129"/>
        <w:gridCol w:w="852"/>
        <w:gridCol w:w="1585"/>
        <w:gridCol w:w="784"/>
        <w:gridCol w:w="784"/>
        <w:gridCol w:w="1697"/>
      </w:tblGrid>
      <w:tr>
        <w:trPr>
          <w:tblHeader w:val="true"/>
        </w:trPr>
        <w:tc>
          <w:tcPr>
            <w:tcW w:w="400" w:type="dxa"/>
            <w:tcBorders/>
            <w:vAlign w:val="center"/>
          </w:tcPr>
          <w:p>
            <w:pPr>
              <w:pStyle w:val="TableHeading"/>
              <w:suppressLineNumbers/>
              <w:bidi w:val="0"/>
              <w:spacing w:before="0" w:after="283"/>
              <w:jc w:val="start"/>
              <w:rPr/>
            </w:pPr>
            <w:r>
              <w:rPr/>
              <w:t>No</w:t>
            </w:r>
          </w:p>
        </w:tc>
        <w:tc>
          <w:tcPr>
            <w:tcW w:w="2087" w:type="dxa"/>
            <w:tcBorders/>
            <w:vAlign w:val="center"/>
          </w:tcPr>
          <w:p>
            <w:pPr>
              <w:pStyle w:val="TableHeading"/>
              <w:suppressLineNumbers/>
              <w:bidi w:val="0"/>
              <w:spacing w:before="0" w:after="283"/>
              <w:jc w:val="start"/>
              <w:rPr/>
            </w:pPr>
            <w:r>
              <w:rPr/>
              <w:t>Waktu Project</w:t>
            </w:r>
          </w:p>
        </w:tc>
        <w:tc>
          <w:tcPr>
            <w:tcW w:w="2129" w:type="dxa"/>
            <w:tcBorders/>
            <w:vAlign w:val="center"/>
          </w:tcPr>
          <w:p>
            <w:pPr>
              <w:pStyle w:val="TableHeading"/>
              <w:suppressLineNumbers/>
              <w:bidi w:val="0"/>
              <w:spacing w:before="0" w:after="283"/>
              <w:jc w:val="start"/>
              <w:rPr/>
            </w:pPr>
            <w:r>
              <w:rPr/>
              <w:t>NASA Referensi</w:t>
            </w:r>
          </w:p>
        </w:tc>
        <w:tc>
          <w:tcPr>
            <w:tcW w:w="852" w:type="dxa"/>
            <w:tcBorders/>
            <w:vAlign w:val="center"/>
          </w:tcPr>
          <w:p>
            <w:pPr>
              <w:pStyle w:val="TableHeading"/>
              <w:suppressLineNumbers/>
              <w:bidi w:val="0"/>
              <w:spacing w:before="0" w:after="283"/>
              <w:jc w:val="start"/>
              <w:rPr/>
            </w:pPr>
            <w:r>
              <w:rPr/>
              <w:t>Sampel</w:t>
            </w:r>
          </w:p>
        </w:tc>
        <w:tc>
          <w:tcPr>
            <w:tcW w:w="1585" w:type="dxa"/>
            <w:tcBorders/>
            <w:vAlign w:val="center"/>
          </w:tcPr>
          <w:p>
            <w:pPr>
              <w:pStyle w:val="TableHeading"/>
              <w:suppressLineNumbers/>
              <w:bidi w:val="0"/>
              <w:spacing w:before="0" w:after="283"/>
              <w:jc w:val="start"/>
              <w:rPr/>
            </w:pPr>
            <w:r>
              <w:rPr/>
              <w:t>Ppanel Simulasi</w:t>
            </w:r>
          </w:p>
        </w:tc>
        <w:tc>
          <w:tcPr>
            <w:tcW w:w="784" w:type="dxa"/>
            <w:tcBorders/>
            <w:vAlign w:val="center"/>
          </w:tcPr>
          <w:p>
            <w:pPr>
              <w:pStyle w:val="TableHeading"/>
              <w:suppressLineNumbers/>
              <w:bidi w:val="0"/>
              <w:spacing w:before="0" w:after="283"/>
              <w:jc w:val="start"/>
              <w:rPr/>
            </w:pPr>
            <w:r>
              <w:rPr/>
              <w:t>SoC</w:t>
            </w:r>
          </w:p>
        </w:tc>
        <w:tc>
          <w:tcPr>
            <w:tcW w:w="784" w:type="dxa"/>
            <w:tcBorders/>
            <w:vAlign w:val="center"/>
          </w:tcPr>
          <w:p>
            <w:pPr>
              <w:pStyle w:val="TableHeading"/>
              <w:suppressLineNumbers/>
              <w:bidi w:val="0"/>
              <w:spacing w:before="0" w:after="283"/>
              <w:jc w:val="start"/>
              <w:rPr/>
            </w:pPr>
            <w:r>
              <w:rPr/>
              <w:t>Duty</w:t>
            </w:r>
          </w:p>
        </w:tc>
        <w:tc>
          <w:tcPr>
            <w:tcW w:w="1697" w:type="dxa"/>
            <w:tcBorders/>
            <w:vAlign w:val="center"/>
          </w:tcPr>
          <w:p>
            <w:pPr>
              <w:pStyle w:val="TableHeading"/>
              <w:suppressLineNumbers/>
              <w:bidi w:val="0"/>
              <w:spacing w:before="0" w:after="283"/>
              <w:jc w:val="start"/>
              <w:rPr/>
            </w:pPr>
            <w:r>
              <w:rPr/>
              <w:t>Irradiance NASA</w:t>
            </w:r>
          </w:p>
        </w:tc>
      </w:tr>
      <w:tr>
        <w:trPr/>
        <w:tc>
          <w:tcPr>
            <w:tcW w:w="400" w:type="dxa"/>
            <w:tcBorders/>
            <w:vAlign w:val="center"/>
          </w:tcPr>
          <w:p>
            <w:pPr>
              <w:pStyle w:val="TableContents"/>
              <w:bidi w:val="0"/>
              <w:spacing w:before="0" w:after="283"/>
              <w:jc w:val="start"/>
              <w:rPr/>
            </w:pPr>
            <w:r>
              <w:rPr/>
              <w:t>1</w:t>
            </w:r>
          </w:p>
        </w:tc>
        <w:tc>
          <w:tcPr>
            <w:tcW w:w="2087" w:type="dxa"/>
            <w:tcBorders/>
            <w:vAlign w:val="center"/>
          </w:tcPr>
          <w:p>
            <w:pPr>
              <w:pStyle w:val="TableContents"/>
              <w:bidi w:val="0"/>
              <w:spacing w:before="0" w:after="283"/>
              <w:jc w:val="start"/>
              <w:rPr/>
            </w:pPr>
            <w:r>
              <w:rPr/>
              <w:t>12 May 2026 05:00 WIB</w:t>
            </w:r>
          </w:p>
        </w:tc>
        <w:tc>
          <w:tcPr>
            <w:tcW w:w="2129" w:type="dxa"/>
            <w:tcBorders/>
            <w:vAlign w:val="center"/>
          </w:tcPr>
          <w:p>
            <w:pPr>
              <w:pStyle w:val="TableContents"/>
              <w:bidi w:val="0"/>
              <w:spacing w:before="0" w:after="283"/>
              <w:jc w:val="start"/>
              <w:rPr/>
            </w:pPr>
            <w:r>
              <w:rPr/>
              <w:t>12 May 2025 05:00 WIB</w:t>
            </w:r>
          </w:p>
        </w:tc>
        <w:tc>
          <w:tcPr>
            <w:tcW w:w="852" w:type="dxa"/>
            <w:tcBorders/>
            <w:vAlign w:val="center"/>
          </w:tcPr>
          <w:p>
            <w:pPr>
              <w:pStyle w:val="TableContents"/>
              <w:bidi w:val="0"/>
              <w:spacing w:before="0" w:after="283"/>
              <w:jc w:val="start"/>
              <w:rPr/>
            </w:pPr>
            <w:r>
              <w:rPr/>
              <w:t>16</w:t>
            </w:r>
          </w:p>
        </w:tc>
        <w:tc>
          <w:tcPr>
            <w:tcW w:w="1585" w:type="dxa"/>
            <w:tcBorders/>
            <w:vAlign w:val="center"/>
          </w:tcPr>
          <w:p>
            <w:pPr>
              <w:pStyle w:val="TableContents"/>
              <w:bidi w:val="0"/>
              <w:spacing w:before="0" w:after="283"/>
              <w:jc w:val="start"/>
              <w:rPr/>
            </w:pPr>
            <w:r>
              <w:rPr/>
              <w:t>38.15 W</w:t>
            </w:r>
          </w:p>
        </w:tc>
        <w:tc>
          <w:tcPr>
            <w:tcW w:w="784" w:type="dxa"/>
            <w:tcBorders/>
            <w:vAlign w:val="center"/>
          </w:tcPr>
          <w:p>
            <w:pPr>
              <w:pStyle w:val="TableContents"/>
              <w:bidi w:val="0"/>
              <w:spacing w:before="0" w:after="283"/>
              <w:jc w:val="start"/>
              <w:rPr/>
            </w:pPr>
            <w:r>
              <w:rPr/>
              <w:t>33.83%</w:t>
            </w:r>
          </w:p>
        </w:tc>
        <w:tc>
          <w:tcPr>
            <w:tcW w:w="784" w:type="dxa"/>
            <w:tcBorders/>
            <w:vAlign w:val="center"/>
          </w:tcPr>
          <w:p>
            <w:pPr>
              <w:pStyle w:val="TableContents"/>
              <w:bidi w:val="0"/>
              <w:spacing w:before="0" w:after="283"/>
              <w:jc w:val="start"/>
              <w:rPr/>
            </w:pPr>
            <w:r>
              <w:rPr/>
              <w:t>72.59%</w:t>
            </w:r>
          </w:p>
        </w:tc>
        <w:tc>
          <w:tcPr>
            <w:tcW w:w="1697" w:type="dxa"/>
            <w:tcBorders/>
            <w:vAlign w:val="center"/>
          </w:tcPr>
          <w:p>
            <w:pPr>
              <w:pStyle w:val="TableContents"/>
              <w:bidi w:val="0"/>
              <w:spacing w:before="0" w:after="283"/>
              <w:jc w:val="start"/>
              <w:rPr/>
            </w:pPr>
            <w:r>
              <w:rPr/>
              <w:t>0.00 Wh/m²</w:t>
            </w:r>
          </w:p>
        </w:tc>
      </w:tr>
      <w:tr>
        <w:trPr/>
        <w:tc>
          <w:tcPr>
            <w:tcW w:w="400" w:type="dxa"/>
            <w:tcBorders/>
            <w:vAlign w:val="center"/>
          </w:tcPr>
          <w:p>
            <w:pPr>
              <w:pStyle w:val="TableContents"/>
              <w:bidi w:val="0"/>
              <w:spacing w:before="0" w:after="283"/>
              <w:jc w:val="start"/>
              <w:rPr/>
            </w:pPr>
            <w:r>
              <w:rPr/>
              <w:t>2</w:t>
            </w:r>
          </w:p>
        </w:tc>
        <w:tc>
          <w:tcPr>
            <w:tcW w:w="2087" w:type="dxa"/>
            <w:tcBorders/>
            <w:vAlign w:val="center"/>
          </w:tcPr>
          <w:p>
            <w:pPr>
              <w:pStyle w:val="TableContents"/>
              <w:bidi w:val="0"/>
              <w:spacing w:before="0" w:after="283"/>
              <w:jc w:val="start"/>
              <w:rPr/>
            </w:pPr>
            <w:r>
              <w:rPr/>
              <w:t>12 May 2026 06:00 WIB</w:t>
            </w:r>
          </w:p>
        </w:tc>
        <w:tc>
          <w:tcPr>
            <w:tcW w:w="2129" w:type="dxa"/>
            <w:tcBorders/>
            <w:vAlign w:val="center"/>
          </w:tcPr>
          <w:p>
            <w:pPr>
              <w:pStyle w:val="TableContents"/>
              <w:bidi w:val="0"/>
              <w:spacing w:before="0" w:after="283"/>
              <w:jc w:val="start"/>
              <w:rPr/>
            </w:pPr>
            <w:r>
              <w:rPr/>
              <w:t>12 May 2025 06:00 WIB</w:t>
            </w:r>
          </w:p>
        </w:tc>
        <w:tc>
          <w:tcPr>
            <w:tcW w:w="852" w:type="dxa"/>
            <w:tcBorders/>
            <w:vAlign w:val="center"/>
          </w:tcPr>
          <w:p>
            <w:pPr>
              <w:pStyle w:val="TableContents"/>
              <w:bidi w:val="0"/>
              <w:spacing w:before="0" w:after="283"/>
              <w:jc w:val="start"/>
              <w:rPr/>
            </w:pPr>
            <w:r>
              <w:rPr/>
              <w:t>132</w:t>
            </w:r>
          </w:p>
        </w:tc>
        <w:tc>
          <w:tcPr>
            <w:tcW w:w="1585" w:type="dxa"/>
            <w:tcBorders/>
            <w:vAlign w:val="center"/>
          </w:tcPr>
          <w:p>
            <w:pPr>
              <w:pStyle w:val="TableContents"/>
              <w:bidi w:val="0"/>
              <w:spacing w:before="0" w:after="283"/>
              <w:jc w:val="start"/>
              <w:rPr/>
            </w:pPr>
            <w:r>
              <w:rPr/>
              <w:t>35.21 W</w:t>
            </w:r>
          </w:p>
        </w:tc>
        <w:tc>
          <w:tcPr>
            <w:tcW w:w="784" w:type="dxa"/>
            <w:tcBorders/>
            <w:vAlign w:val="center"/>
          </w:tcPr>
          <w:p>
            <w:pPr>
              <w:pStyle w:val="TableContents"/>
              <w:bidi w:val="0"/>
              <w:spacing w:before="0" w:after="283"/>
              <w:jc w:val="start"/>
              <w:rPr/>
            </w:pPr>
            <w:r>
              <w:rPr/>
              <w:t>76.52%</w:t>
            </w:r>
          </w:p>
        </w:tc>
        <w:tc>
          <w:tcPr>
            <w:tcW w:w="784" w:type="dxa"/>
            <w:tcBorders/>
            <w:vAlign w:val="center"/>
          </w:tcPr>
          <w:p>
            <w:pPr>
              <w:pStyle w:val="TableContents"/>
              <w:bidi w:val="0"/>
              <w:spacing w:before="0" w:after="283"/>
              <w:jc w:val="start"/>
              <w:rPr/>
            </w:pPr>
            <w:r>
              <w:rPr/>
              <w:t>46.47%</w:t>
            </w:r>
          </w:p>
        </w:tc>
        <w:tc>
          <w:tcPr>
            <w:tcW w:w="1697" w:type="dxa"/>
            <w:tcBorders/>
            <w:vAlign w:val="center"/>
          </w:tcPr>
          <w:p>
            <w:pPr>
              <w:pStyle w:val="TableContents"/>
              <w:bidi w:val="0"/>
              <w:spacing w:before="0" w:after="283"/>
              <w:jc w:val="start"/>
              <w:rPr/>
            </w:pPr>
            <w:r>
              <w:rPr/>
              <w:t>50.03 Wh/m²</w:t>
            </w:r>
          </w:p>
        </w:tc>
      </w:tr>
      <w:tr>
        <w:trPr/>
        <w:tc>
          <w:tcPr>
            <w:tcW w:w="400" w:type="dxa"/>
            <w:tcBorders/>
            <w:vAlign w:val="center"/>
          </w:tcPr>
          <w:p>
            <w:pPr>
              <w:pStyle w:val="TableContents"/>
              <w:bidi w:val="0"/>
              <w:spacing w:before="0" w:after="283"/>
              <w:jc w:val="start"/>
              <w:rPr/>
            </w:pPr>
            <w:r>
              <w:rPr/>
              <w:t>3</w:t>
            </w:r>
          </w:p>
        </w:tc>
        <w:tc>
          <w:tcPr>
            <w:tcW w:w="2087" w:type="dxa"/>
            <w:tcBorders/>
            <w:vAlign w:val="center"/>
          </w:tcPr>
          <w:p>
            <w:pPr>
              <w:pStyle w:val="TableContents"/>
              <w:bidi w:val="0"/>
              <w:spacing w:before="0" w:after="283"/>
              <w:jc w:val="start"/>
              <w:rPr/>
            </w:pPr>
            <w:r>
              <w:rPr/>
              <w:t>15 May 2026 02:00 WIB</w:t>
            </w:r>
          </w:p>
        </w:tc>
        <w:tc>
          <w:tcPr>
            <w:tcW w:w="2129" w:type="dxa"/>
            <w:tcBorders/>
            <w:vAlign w:val="center"/>
          </w:tcPr>
          <w:p>
            <w:pPr>
              <w:pStyle w:val="TableContents"/>
              <w:bidi w:val="0"/>
              <w:spacing w:before="0" w:after="283"/>
              <w:jc w:val="start"/>
              <w:rPr/>
            </w:pPr>
            <w:r>
              <w:rPr/>
              <w:t>15 May 2025 02:00 WIB</w:t>
            </w:r>
          </w:p>
        </w:tc>
        <w:tc>
          <w:tcPr>
            <w:tcW w:w="852" w:type="dxa"/>
            <w:tcBorders/>
            <w:vAlign w:val="center"/>
          </w:tcPr>
          <w:p>
            <w:pPr>
              <w:pStyle w:val="TableContents"/>
              <w:bidi w:val="0"/>
              <w:spacing w:before="0" w:after="283"/>
              <w:jc w:val="start"/>
              <w:rPr/>
            </w:pPr>
            <w:r>
              <w:rPr/>
              <w:t>2</w:t>
            </w:r>
          </w:p>
        </w:tc>
        <w:tc>
          <w:tcPr>
            <w:tcW w:w="1585" w:type="dxa"/>
            <w:tcBorders/>
            <w:vAlign w:val="center"/>
          </w:tcPr>
          <w:p>
            <w:pPr>
              <w:pStyle w:val="TableContents"/>
              <w:bidi w:val="0"/>
              <w:spacing w:before="0" w:after="283"/>
              <w:jc w:val="start"/>
              <w:rPr/>
            </w:pPr>
            <w:r>
              <w:rPr/>
              <w:t>35.98 W</w:t>
            </w:r>
          </w:p>
        </w:tc>
        <w:tc>
          <w:tcPr>
            <w:tcW w:w="784" w:type="dxa"/>
            <w:tcBorders/>
            <w:vAlign w:val="center"/>
          </w:tcPr>
          <w:p>
            <w:pPr>
              <w:pStyle w:val="TableContents"/>
              <w:bidi w:val="0"/>
              <w:spacing w:before="0" w:after="283"/>
              <w:jc w:val="start"/>
              <w:rPr/>
            </w:pPr>
            <w:r>
              <w:rPr/>
              <w:t>64.72%</w:t>
            </w:r>
          </w:p>
        </w:tc>
        <w:tc>
          <w:tcPr>
            <w:tcW w:w="784" w:type="dxa"/>
            <w:tcBorders/>
            <w:vAlign w:val="center"/>
          </w:tcPr>
          <w:p>
            <w:pPr>
              <w:pStyle w:val="TableContents"/>
              <w:bidi w:val="0"/>
              <w:spacing w:before="0" w:after="283"/>
              <w:jc w:val="start"/>
              <w:rPr/>
            </w:pPr>
            <w:r>
              <w:rPr/>
              <w:t>70.00%</w:t>
            </w:r>
          </w:p>
        </w:tc>
        <w:tc>
          <w:tcPr>
            <w:tcW w:w="1697" w:type="dxa"/>
            <w:tcBorders/>
            <w:vAlign w:val="center"/>
          </w:tcPr>
          <w:p>
            <w:pPr>
              <w:pStyle w:val="TableContents"/>
              <w:bidi w:val="0"/>
              <w:spacing w:before="0" w:after="283"/>
              <w:jc w:val="start"/>
              <w:rPr/>
            </w:pPr>
            <w:r>
              <w:rPr/>
              <w:t>0.00 Wh/m²</w:t>
            </w:r>
          </w:p>
        </w:tc>
      </w:tr>
      <w:tr>
        <w:trPr/>
        <w:tc>
          <w:tcPr>
            <w:tcW w:w="400" w:type="dxa"/>
            <w:tcBorders/>
            <w:vAlign w:val="center"/>
          </w:tcPr>
          <w:p>
            <w:pPr>
              <w:pStyle w:val="TableContents"/>
              <w:bidi w:val="0"/>
              <w:spacing w:before="0" w:after="283"/>
              <w:jc w:val="start"/>
              <w:rPr/>
            </w:pPr>
            <w:r>
              <w:rPr/>
              <w:t>4</w:t>
            </w:r>
          </w:p>
        </w:tc>
        <w:tc>
          <w:tcPr>
            <w:tcW w:w="2087" w:type="dxa"/>
            <w:tcBorders/>
            <w:vAlign w:val="center"/>
          </w:tcPr>
          <w:p>
            <w:pPr>
              <w:pStyle w:val="TableContents"/>
              <w:bidi w:val="0"/>
              <w:spacing w:before="0" w:after="283"/>
              <w:jc w:val="start"/>
              <w:rPr/>
            </w:pPr>
            <w:r>
              <w:rPr/>
              <w:t>15 May 2026 03:00 WIB</w:t>
            </w:r>
          </w:p>
        </w:tc>
        <w:tc>
          <w:tcPr>
            <w:tcW w:w="2129" w:type="dxa"/>
            <w:tcBorders/>
            <w:vAlign w:val="center"/>
          </w:tcPr>
          <w:p>
            <w:pPr>
              <w:pStyle w:val="TableContents"/>
              <w:bidi w:val="0"/>
              <w:spacing w:before="0" w:after="283"/>
              <w:jc w:val="start"/>
              <w:rPr/>
            </w:pPr>
            <w:r>
              <w:rPr/>
              <w:t>15 May 2025 03:00 WIB</w:t>
            </w:r>
          </w:p>
        </w:tc>
        <w:tc>
          <w:tcPr>
            <w:tcW w:w="852" w:type="dxa"/>
            <w:tcBorders/>
            <w:vAlign w:val="center"/>
          </w:tcPr>
          <w:p>
            <w:pPr>
              <w:pStyle w:val="TableContents"/>
              <w:bidi w:val="0"/>
              <w:spacing w:before="0" w:after="283"/>
              <w:jc w:val="start"/>
              <w:rPr/>
            </w:pPr>
            <w:r>
              <w:rPr/>
              <w:t>12</w:t>
            </w:r>
          </w:p>
        </w:tc>
        <w:tc>
          <w:tcPr>
            <w:tcW w:w="1585" w:type="dxa"/>
            <w:tcBorders/>
            <w:vAlign w:val="center"/>
          </w:tcPr>
          <w:p>
            <w:pPr>
              <w:pStyle w:val="TableContents"/>
              <w:bidi w:val="0"/>
              <w:spacing w:before="0" w:after="283"/>
              <w:jc w:val="start"/>
              <w:rPr/>
            </w:pPr>
            <w:r>
              <w:rPr/>
              <w:t>43.89 W</w:t>
            </w:r>
          </w:p>
        </w:tc>
        <w:tc>
          <w:tcPr>
            <w:tcW w:w="784" w:type="dxa"/>
            <w:tcBorders/>
            <w:vAlign w:val="center"/>
          </w:tcPr>
          <w:p>
            <w:pPr>
              <w:pStyle w:val="TableContents"/>
              <w:bidi w:val="0"/>
              <w:spacing w:before="0" w:after="283"/>
              <w:jc w:val="start"/>
              <w:rPr/>
            </w:pPr>
            <w:r>
              <w:rPr/>
              <w:t>82.21%</w:t>
            </w:r>
          </w:p>
        </w:tc>
        <w:tc>
          <w:tcPr>
            <w:tcW w:w="784" w:type="dxa"/>
            <w:tcBorders/>
            <w:vAlign w:val="center"/>
          </w:tcPr>
          <w:p>
            <w:pPr>
              <w:pStyle w:val="TableContents"/>
              <w:bidi w:val="0"/>
              <w:spacing w:before="0" w:after="283"/>
              <w:jc w:val="start"/>
              <w:rPr/>
            </w:pPr>
            <w:r>
              <w:rPr/>
              <w:t>45.52%</w:t>
            </w:r>
          </w:p>
        </w:tc>
        <w:tc>
          <w:tcPr>
            <w:tcW w:w="1697" w:type="dxa"/>
            <w:tcBorders/>
            <w:vAlign w:val="center"/>
          </w:tcPr>
          <w:p>
            <w:pPr>
              <w:pStyle w:val="TableContents"/>
              <w:bidi w:val="0"/>
              <w:spacing w:before="0" w:after="283"/>
              <w:jc w:val="start"/>
              <w:rPr/>
            </w:pPr>
            <w:r>
              <w:rPr/>
              <w:t>0.00 Wh/m²</w:t>
            </w:r>
          </w:p>
        </w:tc>
      </w:tr>
    </w:tbl>
    <w:p>
      <w:pPr>
        <w:pStyle w:val="Heading2"/>
        <w:numPr>
          <w:ilvl w:val="0"/>
          <w:numId w:val="0"/>
        </w:numPr>
        <w:bidi w:val="0"/>
        <w:spacing w:before="330" w:after="120"/>
        <w:ind w:start="330" w:end="330"/>
        <w:jc w:val="start"/>
        <w:rPr/>
      </w:pPr>
      <w:r>
        <w:rPr/>
        <w:t>Detail Interpretasi per Jam</w:t>
      </w:r>
    </w:p>
    <w:tbl>
      <w:tblPr>
        <w:tblW w:w="10318" w:type="dxa"/>
        <w:jc w:val="start"/>
        <w:tblInd w:w="0" w:type="dxa"/>
        <w:tblLayout w:type="fixed"/>
        <w:tblCellMar>
          <w:top w:w="28" w:type="dxa"/>
          <w:start w:w="28" w:type="dxa"/>
          <w:bottom w:w="28" w:type="dxa"/>
          <w:end w:w="28" w:type="dxa"/>
        </w:tblCellMar>
      </w:tblPr>
      <w:tblGrid>
        <w:gridCol w:w="400"/>
        <w:gridCol w:w="2674"/>
        <w:gridCol w:w="1722"/>
        <w:gridCol w:w="5522"/>
      </w:tblGrid>
      <w:tr>
        <w:trPr>
          <w:tblHeader w:val="true"/>
        </w:trPr>
        <w:tc>
          <w:tcPr>
            <w:tcW w:w="400" w:type="dxa"/>
            <w:tcBorders/>
            <w:vAlign w:val="center"/>
          </w:tcPr>
          <w:p>
            <w:pPr>
              <w:pStyle w:val="TableHeading"/>
              <w:suppressLineNumbers/>
              <w:bidi w:val="0"/>
              <w:spacing w:before="0" w:after="283"/>
              <w:jc w:val="start"/>
              <w:rPr/>
            </w:pPr>
            <w:r>
              <w:rPr/>
              <w:t>No</w:t>
            </w:r>
          </w:p>
        </w:tc>
        <w:tc>
          <w:tcPr>
            <w:tcW w:w="2674" w:type="dxa"/>
            <w:tcBorders/>
            <w:vAlign w:val="center"/>
          </w:tcPr>
          <w:p>
            <w:pPr>
              <w:pStyle w:val="TableHeading"/>
              <w:suppressLineNumbers/>
              <w:bidi w:val="0"/>
              <w:spacing w:before="0" w:after="283"/>
              <w:jc w:val="start"/>
              <w:rPr/>
            </w:pPr>
            <w:r>
              <w:rPr/>
              <w:t>Parameter Project</w:t>
            </w:r>
          </w:p>
        </w:tc>
        <w:tc>
          <w:tcPr>
            <w:tcW w:w="1722" w:type="dxa"/>
            <w:tcBorders/>
            <w:vAlign w:val="center"/>
          </w:tcPr>
          <w:p>
            <w:pPr>
              <w:pStyle w:val="TableHeading"/>
              <w:suppressLineNumbers/>
              <w:bidi w:val="0"/>
              <w:spacing w:before="0" w:after="283"/>
              <w:jc w:val="start"/>
              <w:rPr/>
            </w:pPr>
            <w:r>
              <w:rPr/>
              <w:t>Parameter NASA</w:t>
            </w:r>
          </w:p>
        </w:tc>
        <w:tc>
          <w:tcPr>
            <w:tcW w:w="5522" w:type="dxa"/>
            <w:tcBorders/>
            <w:vAlign w:val="center"/>
          </w:tcPr>
          <w:p>
            <w:pPr>
              <w:pStyle w:val="TableHeading"/>
              <w:suppressLineNumbers/>
              <w:bidi w:val="0"/>
              <w:spacing w:before="0" w:after="283"/>
              <w:jc w:val="start"/>
              <w:rPr/>
            </w:pPr>
            <w:r>
              <w:rPr/>
              <w:t>Interpretasi</w:t>
            </w:r>
          </w:p>
        </w:tc>
      </w:tr>
      <w:tr>
        <w:trPr/>
        <w:tc>
          <w:tcPr>
            <w:tcW w:w="400" w:type="dxa"/>
            <w:tcBorders/>
            <w:vAlign w:val="center"/>
          </w:tcPr>
          <w:p>
            <w:pPr>
              <w:pStyle w:val="TableContents"/>
              <w:bidi w:val="0"/>
              <w:spacing w:before="0" w:after="283"/>
              <w:jc w:val="start"/>
              <w:rPr/>
            </w:pPr>
            <w:r>
              <w:rPr/>
              <w:t>1</w:t>
            </w:r>
          </w:p>
        </w:tc>
        <w:tc>
          <w:tcPr>
            <w:tcW w:w="2674" w:type="dxa"/>
            <w:tcBorders/>
            <w:vAlign w:val="center"/>
          </w:tcPr>
          <w:p>
            <w:pPr>
              <w:pStyle w:val="TableContents"/>
              <w:bidi w:val="0"/>
              <w:spacing w:before="0" w:after="283"/>
              <w:jc w:val="start"/>
              <w:rPr/>
            </w:pPr>
            <w:r>
              <w:rPr/>
              <w:t>Vpv 18.75 V; Ipv 2.03 A; fase Bulk.</w:t>
            </w:r>
          </w:p>
        </w:tc>
        <w:tc>
          <w:tcPr>
            <w:tcW w:w="1722" w:type="dxa"/>
            <w:tcBorders/>
            <w:vAlign w:val="center"/>
          </w:tcPr>
          <w:p>
            <w:pPr>
              <w:pStyle w:val="TableContents"/>
              <w:bidi w:val="0"/>
              <w:spacing w:before="0" w:after="283"/>
              <w:jc w:val="start"/>
              <w:rPr/>
            </w:pPr>
            <w:r>
              <w:rPr/>
              <w:t>Cloud 99.17%; suhu 18.46 °C.</w:t>
            </w:r>
          </w:p>
        </w:tc>
        <w:tc>
          <w:tcPr>
            <w:tcW w:w="5522" w:type="dxa"/>
            <w:tcBorders/>
            <w:vAlign w:val="center"/>
          </w:tcPr>
          <w:p>
            <w:pPr>
              <w:pStyle w:val="TableContents"/>
              <w:bidi w:val="0"/>
              <w:spacing w:before="0" w:after="283"/>
              <w:jc w:val="start"/>
              <w:rPr/>
            </w:pPr>
            <w:r>
              <w:rPr/>
              <w:t>Tidak sesuai: irradiance rendah/nol tetapi simulasi masih menghasilkan daya panel. Ini indikasi efek demo mode atau timestamp tidak representatif.</w:t>
            </w:r>
          </w:p>
        </w:tc>
      </w:tr>
      <w:tr>
        <w:trPr/>
        <w:tc>
          <w:tcPr>
            <w:tcW w:w="400" w:type="dxa"/>
            <w:tcBorders/>
            <w:vAlign w:val="center"/>
          </w:tcPr>
          <w:p>
            <w:pPr>
              <w:pStyle w:val="TableContents"/>
              <w:bidi w:val="0"/>
              <w:spacing w:before="0" w:after="283"/>
              <w:jc w:val="start"/>
              <w:rPr/>
            </w:pPr>
            <w:r>
              <w:rPr/>
              <w:t>2</w:t>
            </w:r>
          </w:p>
        </w:tc>
        <w:tc>
          <w:tcPr>
            <w:tcW w:w="2674" w:type="dxa"/>
            <w:tcBorders/>
            <w:vAlign w:val="center"/>
          </w:tcPr>
          <w:p>
            <w:pPr>
              <w:pStyle w:val="TableContents"/>
              <w:bidi w:val="0"/>
              <w:spacing w:before="0" w:after="283"/>
              <w:jc w:val="start"/>
              <w:rPr/>
            </w:pPr>
            <w:r>
              <w:rPr/>
              <w:t>Vpv 17.28 V; Ipv 1.84 A; fase Bulk,Absorption,Float,Standby.</w:t>
            </w:r>
          </w:p>
        </w:tc>
        <w:tc>
          <w:tcPr>
            <w:tcW w:w="1722" w:type="dxa"/>
            <w:tcBorders/>
            <w:vAlign w:val="center"/>
          </w:tcPr>
          <w:p>
            <w:pPr>
              <w:pStyle w:val="TableContents"/>
              <w:bidi w:val="0"/>
              <w:spacing w:before="0" w:after="283"/>
              <w:jc w:val="start"/>
              <w:rPr/>
            </w:pPr>
            <w:r>
              <w:rPr/>
              <w:t>Cloud 97.73%; suhu 19.34 °C.</w:t>
            </w:r>
          </w:p>
        </w:tc>
        <w:tc>
          <w:tcPr>
            <w:tcW w:w="5522" w:type="dxa"/>
            <w:tcBorders/>
            <w:vAlign w:val="center"/>
          </w:tcPr>
          <w:p>
            <w:pPr>
              <w:pStyle w:val="TableContents"/>
              <w:bidi w:val="0"/>
              <w:spacing w:before="0" w:after="283"/>
              <w:jc w:val="start"/>
              <w:rPr/>
            </w:pPr>
            <w:r>
              <w:rPr/>
              <w:t>Cukup sesuai: pola tidak bertentangan, tetapi nilai berada di area transisi.</w:t>
            </w:r>
          </w:p>
        </w:tc>
      </w:tr>
      <w:tr>
        <w:trPr/>
        <w:tc>
          <w:tcPr>
            <w:tcW w:w="400" w:type="dxa"/>
            <w:tcBorders/>
            <w:vAlign w:val="center"/>
          </w:tcPr>
          <w:p>
            <w:pPr>
              <w:pStyle w:val="TableContents"/>
              <w:bidi w:val="0"/>
              <w:spacing w:before="0" w:after="283"/>
              <w:jc w:val="start"/>
              <w:rPr/>
            </w:pPr>
            <w:r>
              <w:rPr/>
              <w:t>3</w:t>
            </w:r>
          </w:p>
        </w:tc>
        <w:tc>
          <w:tcPr>
            <w:tcW w:w="2674" w:type="dxa"/>
            <w:tcBorders/>
            <w:vAlign w:val="center"/>
          </w:tcPr>
          <w:p>
            <w:pPr>
              <w:pStyle w:val="TableContents"/>
              <w:bidi w:val="0"/>
              <w:spacing w:before="0" w:after="283"/>
              <w:jc w:val="start"/>
              <w:rPr/>
            </w:pPr>
            <w:r>
              <w:rPr/>
              <w:t>Vpv 17.41 V; Ipv 2.06 A; fase Bulk.</w:t>
            </w:r>
          </w:p>
        </w:tc>
        <w:tc>
          <w:tcPr>
            <w:tcW w:w="1722" w:type="dxa"/>
            <w:tcBorders/>
            <w:vAlign w:val="center"/>
          </w:tcPr>
          <w:p>
            <w:pPr>
              <w:pStyle w:val="TableContents"/>
              <w:bidi w:val="0"/>
              <w:spacing w:before="0" w:after="283"/>
              <w:jc w:val="start"/>
              <w:rPr/>
            </w:pPr>
            <w:r>
              <w:rPr/>
              <w:t>Cloud 89.36%; suhu 20.13 °C.</w:t>
            </w:r>
          </w:p>
        </w:tc>
        <w:tc>
          <w:tcPr>
            <w:tcW w:w="5522" w:type="dxa"/>
            <w:tcBorders/>
            <w:vAlign w:val="center"/>
          </w:tcPr>
          <w:p>
            <w:pPr>
              <w:pStyle w:val="TableContents"/>
              <w:bidi w:val="0"/>
              <w:spacing w:before="0" w:after="283"/>
              <w:jc w:val="start"/>
              <w:rPr/>
            </w:pPr>
            <w:r>
              <w:rPr/>
              <w:t>Tidak sesuai: irradiance rendah/nol tetapi simulasi masih menghasilkan daya panel. Ini indikasi efek demo mode atau timestamp tidak representatif.</w:t>
            </w:r>
          </w:p>
        </w:tc>
      </w:tr>
      <w:tr>
        <w:trPr/>
        <w:tc>
          <w:tcPr>
            <w:tcW w:w="400" w:type="dxa"/>
            <w:tcBorders/>
            <w:vAlign w:val="center"/>
          </w:tcPr>
          <w:p>
            <w:pPr>
              <w:pStyle w:val="TableContents"/>
              <w:bidi w:val="0"/>
              <w:spacing w:before="0" w:after="283"/>
              <w:jc w:val="start"/>
              <w:rPr/>
            </w:pPr>
            <w:r>
              <w:rPr/>
              <w:t>4</w:t>
            </w:r>
          </w:p>
        </w:tc>
        <w:tc>
          <w:tcPr>
            <w:tcW w:w="2674" w:type="dxa"/>
            <w:tcBorders/>
            <w:vAlign w:val="center"/>
          </w:tcPr>
          <w:p>
            <w:pPr>
              <w:pStyle w:val="TableContents"/>
              <w:bidi w:val="0"/>
              <w:spacing w:before="0" w:after="283"/>
              <w:jc w:val="start"/>
              <w:rPr/>
            </w:pPr>
            <w:r>
              <w:rPr/>
              <w:t>Vpv 17.97 V; Ipv 2.43 A; fase Bulk,Absorption,Float.</w:t>
            </w:r>
          </w:p>
        </w:tc>
        <w:tc>
          <w:tcPr>
            <w:tcW w:w="1722" w:type="dxa"/>
            <w:tcBorders/>
            <w:vAlign w:val="center"/>
          </w:tcPr>
          <w:p>
            <w:pPr>
              <w:pStyle w:val="TableContents"/>
              <w:bidi w:val="0"/>
              <w:spacing w:before="0" w:after="283"/>
              <w:jc w:val="start"/>
              <w:rPr/>
            </w:pPr>
            <w:r>
              <w:rPr/>
              <w:t>Cloud 96.41%; suhu 19.66 °C.</w:t>
            </w:r>
          </w:p>
        </w:tc>
        <w:tc>
          <w:tcPr>
            <w:tcW w:w="5522" w:type="dxa"/>
            <w:tcBorders/>
            <w:vAlign w:val="center"/>
          </w:tcPr>
          <w:p>
            <w:pPr>
              <w:pStyle w:val="TableContents"/>
              <w:bidi w:val="0"/>
              <w:spacing w:before="0" w:after="283"/>
              <w:jc w:val="start"/>
              <w:rPr/>
            </w:pPr>
            <w:r>
              <w:rPr/>
              <w:t>Tidak sesuai: irradiance rendah/nol tetapi simulasi masih menghasilkan daya panel. Ini indikasi efek demo mode atau timestamp tidak representatif.</w:t>
            </w:r>
          </w:p>
        </w:tc>
      </w:tr>
    </w:tbl>
    <w:p>
      <w:pPr>
        <w:pStyle w:val="Heading2"/>
        <w:numPr>
          <w:ilvl w:val="0"/>
          <w:numId w:val="0"/>
        </w:numPr>
        <w:bidi w:val="0"/>
        <w:spacing w:before="330" w:after="120"/>
        <w:ind w:start="330" w:end="330"/>
        <w:jc w:val="start"/>
        <w:rPr/>
      </w:pPr>
      <w:r>
        <w:rPr/>
        <w:t>Analisis</w:t>
      </w:r>
    </w:p>
    <w:p>
      <w:pPr>
        <w:pStyle w:val="BodyText"/>
        <w:bidi w:val="0"/>
        <w:spacing w:before="0" w:after="283"/>
        <w:jc w:val="start"/>
        <w:rPr/>
      </w:pPr>
      <w:r>
        <w:rPr/>
        <w:t>Secara umum, data project menunjukkan daya panel simulasi berada pada kisaran 43.89 W maksimum. Namun pada timestamp yang sama, NASA POWER menunjukkan irradiance nol atau rendah. Artinya, data demo yang sedang tersimpan belum cocok untuk disebut sebagai validasi waktu nyata terhadap radiasi matahari. Perbedaan ini muncul karena mode demo project sengaja mempertahankan simulasi panel agar dashboard tetap aktif untuk presentasi.</w:t>
      </w:r>
    </w:p>
    <w:p>
      <w:pPr>
        <w:pStyle w:val="BodyText"/>
        <w:bidi w:val="0"/>
        <w:spacing w:before="0" w:after="283"/>
        <w:jc w:val="start"/>
        <w:rPr/>
      </w:pPr>
      <w:r>
        <w:rPr/>
        <w:t>Nilai numerik antara NASA irradiance dan Ppanel simulasi tidak harus sama karena satuannya berbeda. NASA memberikan energi radiasi per luas permukaan horizontal, sedangkan project menghitung daya keluaran panel dari model simulasi tegangan dan arus. Oleh karena itu laporan ini membaca kesesuaian tren, bukan error absolut.</w:t>
      </w:r>
    </w:p>
    <w:p>
      <w:pPr>
        <w:pStyle w:val="BodyText"/>
        <w:bidi w:val="0"/>
        <w:spacing w:before="0" w:after="283"/>
        <w:jc w:val="start"/>
        <w:rPr/>
      </w:pPr>
      <w:r>
        <w:rPr/>
        <w:t>Jika ingin memperoleh validasi yang lebih kuat, data SCC perlu direkam pada jam siang lokal, misalnya pukul 08:00-15:00 WIB, atau demo mode perlu dimatikan agar logika siang/malam benar-benar menahan produksi panel pada malam hari.</w:t>
      </w:r>
    </w:p>
    <w:p>
      <w:pPr>
        <w:pStyle w:val="Heading2"/>
        <w:numPr>
          <w:ilvl w:val="0"/>
          <w:numId w:val="0"/>
        </w:numPr>
        <w:bidi w:val="0"/>
        <w:spacing w:before="330" w:after="120"/>
        <w:ind w:start="330" w:end="330"/>
        <w:jc w:val="start"/>
        <w:rPr/>
      </w:pPr>
      <w:r>
        <w:rPr/>
        <w:t>Keterbatasan</w:t>
      </w:r>
    </w:p>
    <w:p>
      <w:pPr>
        <w:pStyle w:val="BodyText"/>
        <w:numPr>
          <w:ilvl w:val="0"/>
          <w:numId w:val="2"/>
        </w:numPr>
        <w:tabs>
          <w:tab w:val="clear" w:pos="1134"/>
          <w:tab w:val="left" w:pos="709" w:leader="none"/>
        </w:tabs>
        <w:bidi w:val="0"/>
        <w:spacing w:before="0" w:after="0"/>
        <w:ind w:hanging="283" w:start="709"/>
        <w:jc w:val="start"/>
        <w:rPr/>
      </w:pPr>
      <w:r>
        <w:rPr/>
        <w:t xml:space="preserve">Data NASA yang dipakai adalah baseline historis 2025 karena data irradiance NASA untuk tanggal demo 2026 masih bernilai </w:t>
      </w:r>
      <w:r>
        <w:rPr>
          <w:rStyle w:val="SourceText"/>
        </w:rPr>
        <w:t>-999</w:t>
      </w:r>
      <w:r>
        <w:rPr/>
        <w:t xml:space="preserve"> atau belum tersedia.</w:t>
      </w:r>
    </w:p>
    <w:p>
      <w:pPr>
        <w:pStyle w:val="BodyText"/>
        <w:numPr>
          <w:ilvl w:val="0"/>
          <w:numId w:val="2"/>
        </w:numPr>
        <w:tabs>
          <w:tab w:val="clear" w:pos="1134"/>
          <w:tab w:val="left" w:pos="709" w:leader="none"/>
        </w:tabs>
        <w:bidi w:val="0"/>
        <w:spacing w:before="0" w:after="0"/>
        <w:ind w:hanging="283" w:start="709"/>
        <w:jc w:val="start"/>
        <w:rPr/>
      </w:pPr>
      <w:r>
        <w:rPr/>
        <w:t>Simulasi project memakai tutupan awan BMKG dan logika siang/malam, tetapi pada saat laporan dibuat mode demo aktif sehingga pengaruh malam hari tidak dipakai secara ketat.</w:t>
      </w:r>
    </w:p>
    <w:p>
      <w:pPr>
        <w:pStyle w:val="BodyText"/>
        <w:numPr>
          <w:ilvl w:val="0"/>
          <w:numId w:val="2"/>
        </w:numPr>
        <w:tabs>
          <w:tab w:val="clear" w:pos="1134"/>
          <w:tab w:val="left" w:pos="709" w:leader="none"/>
        </w:tabs>
        <w:bidi w:val="0"/>
        <w:ind w:hanging="283" w:start="709"/>
        <w:jc w:val="start"/>
        <w:rPr/>
      </w:pPr>
      <w:r>
        <w:rPr/>
        <w:t>Perbandingan ini adalah plausibility check. Untuk validasi hardware penuh tetap diperlukan pengukuran real Vpv, Ipv, irradiance, suhu panel, dan orientasi panel.</w:t>
      </w:r>
    </w:p>
    <w:p>
      <w:pPr>
        <w:pStyle w:val="Heading2"/>
        <w:numPr>
          <w:ilvl w:val="0"/>
          <w:numId w:val="0"/>
        </w:numPr>
        <w:bidi w:val="0"/>
        <w:spacing w:before="330" w:after="120"/>
        <w:ind w:start="330" w:end="330"/>
        <w:jc w:val="start"/>
        <w:rPr/>
      </w:pPr>
      <w:r>
        <w:rPr/>
        <w:t>Kesimpulan</w:t>
      </w:r>
    </w:p>
    <w:p>
      <w:pPr>
        <w:pStyle w:val="BodyText"/>
        <w:bidi w:val="0"/>
        <w:spacing w:before="0" w:after="283"/>
        <w:jc w:val="start"/>
        <w:rPr/>
      </w:pPr>
      <w:r>
        <w:rPr/>
        <w:t>Perbandingan dengan NASA POWER menunjukkan bahwa data demo project belum valid sebagai pembacaan waktu nyata karena daya panel simulasi masih muncul pada jam ketika irradiance referensi rendah atau nol. Namun, hasil ini tetap berguna untuk laporan UAS karena menunjukkan batasan simulasi secara transparan. Project layak dipakai sebagai demonstrasi hubungan cuaca, potensi panel, fuzzy charging, dan manajemen beban DC, dengan catatan bahwa validasi lapangan tetap memerlukan data siang hari atau sensor irradiance real.</w:t>
      </w:r>
    </w:p>
    <w:p>
      <w:pPr>
        <w:pStyle w:val="Heading2"/>
        <w:numPr>
          <w:ilvl w:val="0"/>
          <w:numId w:val="0"/>
        </w:numPr>
        <w:bidi w:val="0"/>
        <w:spacing w:before="330" w:after="120"/>
        <w:ind w:start="330" w:end="330"/>
        <w:jc w:val="start"/>
        <w:rPr/>
      </w:pPr>
      <w:r>
        <w:rPr/>
        <w:t>Sumber Data</w:t>
      </w:r>
    </w:p>
    <w:p>
      <w:pPr>
        <w:pStyle w:val="BodyText"/>
        <w:numPr>
          <w:ilvl w:val="0"/>
          <w:numId w:val="3"/>
        </w:numPr>
        <w:tabs>
          <w:tab w:val="clear" w:pos="1134"/>
          <w:tab w:val="left" w:pos="709" w:leader="none"/>
        </w:tabs>
        <w:bidi w:val="0"/>
        <w:spacing w:before="0" w:after="0"/>
        <w:ind w:hanging="283" w:start="709"/>
        <w:jc w:val="start"/>
        <w:rPr/>
      </w:pPr>
      <w:r>
        <w:rPr/>
        <w:t>NASA POWER Hourly API: https://power.larc.nasa.gov/docs/services/api/temporal/hourly/</w:t>
      </w:r>
    </w:p>
    <w:p>
      <w:pPr>
        <w:pStyle w:val="BodyText"/>
        <w:numPr>
          <w:ilvl w:val="0"/>
          <w:numId w:val="3"/>
        </w:numPr>
        <w:tabs>
          <w:tab w:val="clear" w:pos="1134"/>
          <w:tab w:val="left" w:pos="709" w:leader="none"/>
        </w:tabs>
        <w:bidi w:val="0"/>
        <w:spacing w:before="0" w:after="0"/>
        <w:ind w:hanging="283" w:start="709"/>
        <w:jc w:val="start"/>
        <w:rPr/>
      </w:pPr>
      <w:r>
        <w:rPr/>
        <w:t>NASA POWER Solar FAQ: https://power.larc.nasa.gov/docs/faqs/solar/</w:t>
      </w:r>
    </w:p>
    <w:p>
      <w:pPr>
        <w:pStyle w:val="BodyText"/>
        <w:numPr>
          <w:ilvl w:val="0"/>
          <w:numId w:val="3"/>
        </w:numPr>
        <w:tabs>
          <w:tab w:val="clear" w:pos="1134"/>
          <w:tab w:val="left" w:pos="709" w:leader="none"/>
        </w:tabs>
        <w:bidi w:val="0"/>
        <w:spacing w:before="0" w:after="283"/>
        <w:ind w:hanging="283" w:start="709"/>
        <w:jc w:val="start"/>
        <w:rPr/>
      </w:pPr>
      <w:r>
        <w:rPr/>
        <w:t>NASA POWER Methodology CERES SYN1deg: https://power.larc.nasa.gov/docs/methodology/energy-fluxes/syn1deg/</w:t>
      </w:r>
    </w:p>
    <w:sectPr>
      <w:type w:val="nextPage"/>
      <w:pgSz w:w="11906" w:h="16838"/>
      <w:pgMar w:left="794" w:right="794" w:gutter="0" w:header="0" w:top="1020" w:footer="0" w:bottom="102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8"/>
    </w:pPr>
    <w:rPr>
      <w:rFonts w:ascii="Arial;Helvetica;sans-serif" w:hAnsi="Arial;Helvetica;sans-serif" w:eastAsia="Arial;Helvetica;sans-serif" w:cs="Arial;Helvetica;sans-serif"/>
      <w:color w:val="111827"/>
      <w:sz w:val="21"/>
      <w:szCs w:val="21"/>
      <w:lang w:val="en-US" w:eastAsia="zh-CN" w:bidi="hi-IN"/>
    </w:rPr>
  </w:style>
  <w:style w:type="paragraph" w:styleId="Heading1">
    <w:name w:val="heading 1"/>
    <w:basedOn w:val="Heading"/>
    <w:next w:val="BodyText"/>
    <w:qFormat/>
    <w:pPr>
      <w:pBdr>
        <w:bottom w:val="single" w:sz="12" w:space="6" w:color="1F2937"/>
      </w:pBdr>
      <w:spacing w:before="240" w:after="180"/>
    </w:pPr>
    <w:rPr>
      <w:b/>
      <w:bCs/>
      <w:sz w:val="40"/>
      <w:szCs w:val="40"/>
    </w:rPr>
  </w:style>
  <w:style w:type="paragraph" w:styleId="Heading2">
    <w:name w:val="heading 2"/>
    <w:basedOn w:val="Heading"/>
    <w:next w:val="BodyText"/>
    <w:qFormat/>
    <w:pPr>
      <w:numPr>
        <w:ilvl w:val="0"/>
        <w:numId w:val="0"/>
      </w:numPr>
      <w:spacing w:before="330" w:after="120"/>
      <w:ind w:start="330" w:end="330"/>
      <w:outlineLvl w:val="1"/>
    </w:pPr>
    <w:rPr>
      <w:rFonts w:ascii="Liberation Serif" w:hAnsi="Liberation Serif" w:eastAsia="Noto Serif CJK SC" w:cs="Noto Sans Devanagari"/>
      <w:b/>
      <w:bCs/>
      <w:color w:val="1F2937"/>
      <w:sz w:val="30"/>
      <w:szCs w:val="30"/>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color w:val="1E3A8A"/>
      <w:shd w:fill="EEF2FF" w:val="clear"/>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meta">
    <w:name w:val="Body Text.meta"/>
    <w:basedOn w:val="BodyText"/>
    <w:qFormat/>
    <w:pPr>
      <w:pBdr>
        <w:left w:val="single" w:sz="24" w:space="9" w:color="2563EB"/>
      </w:pBdr>
    </w:pPr>
    <w:rPr/>
  </w:style>
  <w:style w:type="paragraph" w:styleId="TableHeading">
    <w:name w:val="Table Heading"/>
    <w:basedOn w:val="TableContents"/>
    <w:qFormat/>
    <w:pPr>
      <w:suppressLineNumbers/>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ages>1</Pages>
  <Words>827</Words>
  <Characters>4932</Characters>
  <CharactersWithSpaces>5645</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Laporan Validasi Simulasi SCC</dc:title>
</cp:coreProperties>
</file>

<file path=docProps/custom.xml><?xml version="1.0" encoding="utf-8"?>
<Properties xmlns="http://schemas.openxmlformats.org/officeDocument/2006/custom-properties" xmlns:vt="http://schemas.openxmlformats.org/officeDocument/2006/docPropsVTypes"/>
</file>