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color w:val="C9211E"/>
        </w:rPr>
      </w:pPr>
      <w:r>
        <w:rPr>
          <w:color w:val="C9211E"/>
        </w:rPr>
        <w:t>Avalio se o acoplamento das novas funcionalidades será possível e garantiria a qualidade através de testes das novas funcionalidades.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C9211E"/>
        </w:rPr>
        <w:t>Em testes unitários antes da entrega do software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>
          <w:shd w:fill="auto" w:val="clear"/>
        </w:rPr>
        <w:t>Criar uma pessoa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Editar uma pessoa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Consultar uma pessoa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Listar pessoas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Criar endereço para pessoa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Listar endereços da pessoa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Application>LibreOffice/7.4.4.2$Windows_X86_64 LibreOffice_project/85569322deea74ec9134968a29af2df5663baa21</Application>
  <AppVersion>15.0000</AppVersion>
  <Pages>2</Pages>
  <Words>290</Words>
  <Characters>1479</Characters>
  <CharactersWithSpaces>1714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2023-01-28T00:04:22Z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