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B8"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263B8" w:rsidRDefault="00C263B8">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executive boards of Independent Regulatory Agencies’ (IRAs) hold decision-making, administrative, and financial autonomy, with fixed terms for their directors. </w:t>
      </w:r>
      <w:proofErr w:type="gramStart"/>
      <w:r>
        <w:rPr>
          <w:rFonts w:ascii="Times New Roman" w:eastAsia="Times New Roman" w:hAnsi="Times New Roman" w:cs="Times New Roman"/>
          <w:sz w:val="24"/>
          <w:szCs w:val="24"/>
        </w:rPr>
        <w:t>This ”</w:t>
      </w:r>
      <w:proofErr w:type="gramEnd"/>
      <w:r>
        <w:rPr>
          <w:rFonts w:ascii="Times New Roman" w:eastAsia="Times New Roman" w:hAnsi="Times New Roman" w:cs="Times New Roman"/>
          <w:sz w:val="24"/>
          <w:szCs w:val="24"/>
        </w:rPr>
        <w:t>identity” itself ensures the independence inherent to the regulatory activity (</w:t>
      </w:r>
      <w:proofErr w:type="spellStart"/>
      <w:r>
        <w:rPr>
          <w:rFonts w:ascii="Times New Roman" w:eastAsia="Times New Roman" w:hAnsi="Times New Roman" w:cs="Times New Roman"/>
          <w:sz w:val="24"/>
          <w:szCs w:val="24"/>
        </w:rPr>
        <w:t>Cavalcanti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Peci</w:t>
      </w:r>
      <w:proofErr w:type="spellEnd"/>
      <w:r>
        <w:rPr>
          <w:rFonts w:ascii="Times New Roman" w:eastAsia="Times New Roman" w:hAnsi="Times New Roman" w:cs="Times New Roman"/>
          <w:sz w:val="24"/>
          <w:szCs w:val="24"/>
        </w:rPr>
        <w:t xml:space="preserve">, 2001). </w:t>
      </w:r>
      <w:proofErr w:type="gramStart"/>
      <w:r>
        <w:rPr>
          <w:rFonts w:ascii="Times New Roman" w:eastAsia="Times New Roman" w:hAnsi="Times New Roman" w:cs="Times New Roman"/>
          <w:sz w:val="24"/>
          <w:szCs w:val="24"/>
        </w:rPr>
        <w:t xml:space="preserve">Most of the theories that seek to understand IRA’s performance focus mainly on reasons that led to its creation, favoring its emergence as an almost natural consequence of the privatization process of public services or seeing intense mimetic pressures on the part of national and international organizations in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adoption of this new institutional format (</w:t>
      </w:r>
      <w:proofErr w:type="spellStart"/>
      <w:r>
        <w:rPr>
          <w:rFonts w:ascii="Times New Roman" w:eastAsia="Times New Roman" w:hAnsi="Times New Roman" w:cs="Times New Roman"/>
          <w:sz w:val="24"/>
          <w:szCs w:val="24"/>
        </w:rPr>
        <w:t>Beblavy</w:t>
      </w:r>
      <w:proofErr w:type="spellEnd"/>
      <w:r>
        <w:rPr>
          <w:rFonts w:ascii="Times New Roman" w:eastAsia="Times New Roman" w:hAnsi="Times New Roman" w:cs="Times New Roman"/>
          <w:sz w:val="24"/>
          <w:szCs w:val="24"/>
        </w:rPr>
        <w:t xml:space="preserve">, 2011; Christensen and </w:t>
      </w:r>
      <w:proofErr w:type="spellStart"/>
      <w:r>
        <w:rPr>
          <w:rFonts w:ascii="Times New Roman" w:eastAsia="Times New Roman" w:hAnsi="Times New Roman" w:cs="Times New Roman"/>
          <w:sz w:val="24"/>
          <w:szCs w:val="24"/>
        </w:rPr>
        <w:t>Lægreid</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Jordana</w:t>
      </w:r>
      <w:proofErr w:type="spellEnd"/>
      <w:r>
        <w:rPr>
          <w:rFonts w:ascii="Times New Roman" w:eastAsia="Times New Roman" w:hAnsi="Times New Roman" w:cs="Times New Roman"/>
          <w:sz w:val="24"/>
          <w:szCs w:val="24"/>
        </w:rPr>
        <w:t xml:space="preserve"> et al., 2011).</w:t>
      </w:r>
      <w:proofErr w:type="gramEnd"/>
      <w:r>
        <w:rPr>
          <w:rFonts w:ascii="Times New Roman" w:eastAsia="Times New Roman" w:hAnsi="Times New Roman" w:cs="Times New Roman"/>
          <w:sz w:val="24"/>
          <w:szCs w:val="24"/>
        </w:rPr>
        <w:t xml:space="preserve"> Delegation theories focus mainly on reasons for creating IRAs, as well as on the relationship between the agency (for which power </w:t>
      </w:r>
      <w:proofErr w:type="gramStart"/>
      <w:r>
        <w:rPr>
          <w:rFonts w:ascii="Times New Roman" w:eastAsia="Times New Roman" w:hAnsi="Times New Roman" w:cs="Times New Roman"/>
          <w:sz w:val="24"/>
          <w:szCs w:val="24"/>
        </w:rPr>
        <w:t>is delegated</w:t>
      </w:r>
      <w:proofErr w:type="gramEnd"/>
      <w:r>
        <w:rPr>
          <w:rFonts w:ascii="Times New Roman" w:eastAsia="Times New Roman" w:hAnsi="Times New Roman" w:cs="Times New Roman"/>
          <w:sz w:val="24"/>
          <w:szCs w:val="24"/>
        </w:rPr>
        <w:t>) and its key policymakers in the post-delegation phase (</w:t>
      </w:r>
      <w:proofErr w:type="spellStart"/>
      <w:r>
        <w:rPr>
          <w:rFonts w:ascii="Times New Roman" w:eastAsia="Times New Roman" w:hAnsi="Times New Roman" w:cs="Times New Roman"/>
          <w:sz w:val="24"/>
          <w:szCs w:val="24"/>
        </w:rPr>
        <w:t>Gilardi</w:t>
      </w:r>
      <w:proofErr w:type="spellEnd"/>
      <w:r>
        <w:rPr>
          <w:rFonts w:ascii="Times New Roman" w:eastAsia="Times New Roman" w:hAnsi="Times New Roman" w:cs="Times New Roman"/>
          <w:sz w:val="24"/>
          <w:szCs w:val="24"/>
        </w:rPr>
        <w:t>, 2002; Shapiro, 2002).</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However, much of the theories mentioned above do not help to understand what happens in IRAs once the regulator delegation process has taken place (</w:t>
      </w:r>
      <w:proofErr w:type="spellStart"/>
      <w:r>
        <w:rPr>
          <w:rFonts w:ascii="Times New Roman" w:eastAsia="Times New Roman" w:hAnsi="Times New Roman" w:cs="Times New Roman"/>
          <w:sz w:val="24"/>
          <w:szCs w:val="24"/>
        </w:rPr>
        <w:t>Schrefler</w:t>
      </w:r>
      <w:proofErr w:type="spellEnd"/>
      <w:r>
        <w:rPr>
          <w:rFonts w:ascii="Times New Roman" w:eastAsia="Times New Roman" w:hAnsi="Times New Roman" w:cs="Times New Roman"/>
          <w:sz w:val="24"/>
          <w:szCs w:val="24"/>
        </w:rPr>
        <w:t xml:space="preserve">, 2010). This research intends to depart from a normative orientation about the desirable characteristics of a regulatory body in order to achieve a desirable autonomy of action and seeks to understand if, after more than 20 years since its creation, the real dynamics of the Brazilian regulators approach this rhetoric of independence. The few empirical research that shares this empirical orientation </w:t>
      </w:r>
      <w:proofErr w:type="gramStart"/>
      <w:r>
        <w:rPr>
          <w:rFonts w:ascii="Times New Roman" w:eastAsia="Times New Roman" w:hAnsi="Times New Roman" w:cs="Times New Roman"/>
          <w:sz w:val="24"/>
          <w:szCs w:val="24"/>
        </w:rPr>
        <w:t>has been carried out</w:t>
      </w:r>
      <w:proofErr w:type="gramEnd"/>
      <w:r>
        <w:rPr>
          <w:rFonts w:ascii="Times New Roman" w:eastAsia="Times New Roman" w:hAnsi="Times New Roman" w:cs="Times New Roman"/>
          <w:sz w:val="24"/>
          <w:szCs w:val="24"/>
        </w:rPr>
        <w:t xml:space="preserve"> in the North American context (Eckert, 1981; Spiller, 1990) and indicate that, after term, regulators are rewarded with well-paid jobs in the regulated industry itself or in its partners and suppliers, corroborating theories of regulatory capture. In other words, IRAs are entities that </w:t>
      </w:r>
      <w:proofErr w:type="gramStart"/>
      <w:r>
        <w:rPr>
          <w:rFonts w:ascii="Times New Roman" w:eastAsia="Times New Roman" w:hAnsi="Times New Roman" w:cs="Times New Roman"/>
          <w:sz w:val="24"/>
          <w:szCs w:val="24"/>
        </w:rPr>
        <w:t>can be captured</w:t>
      </w:r>
      <w:proofErr w:type="gramEnd"/>
      <w:r>
        <w:rPr>
          <w:rFonts w:ascii="Times New Roman" w:eastAsia="Times New Roman" w:hAnsi="Times New Roman" w:cs="Times New Roman"/>
          <w:sz w:val="24"/>
          <w:szCs w:val="24"/>
        </w:rPr>
        <w:t xml:space="preserve"> by various interest groups.</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intends to understand </w:t>
      </w:r>
      <w:proofErr w:type="gramStart"/>
      <w:r>
        <w:rPr>
          <w:rFonts w:ascii="Times New Roman" w:eastAsia="Times New Roman" w:hAnsi="Times New Roman" w:cs="Times New Roman"/>
          <w:sz w:val="24"/>
          <w:szCs w:val="24"/>
        </w:rPr>
        <w:t>the ”</w:t>
      </w:r>
      <w:proofErr w:type="gramEnd"/>
      <w:r>
        <w:rPr>
          <w:rFonts w:ascii="Times New Roman" w:eastAsia="Times New Roman" w:hAnsi="Times New Roman" w:cs="Times New Roman"/>
          <w:sz w:val="24"/>
          <w:szCs w:val="24"/>
        </w:rPr>
        <w:t xml:space="preserve">real” autonomy of the executive board. Sharing the premise that expertise and technical knowledge of the regulators are fundamental to assure the autonomy and technical and apolitical nature of the regulator itself, the longitudinal question that guided this research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How does a change in autonomy affect regulators’ capture? The main goal is to understand how autonomy translates into the capture mechanism. Thus, this research intends to contribute to the </w:t>
      </w:r>
      <w:r>
        <w:rPr>
          <w:rFonts w:ascii="Times New Roman" w:eastAsia="Times New Roman" w:hAnsi="Times New Roman" w:cs="Times New Roman"/>
          <w:sz w:val="24"/>
          <w:szCs w:val="24"/>
        </w:rPr>
        <w:lastRenderedPageBreak/>
        <w:t>ongoing debate and evolution of the studies of the regulatory area in Brazil seeking to map the inherent characteristics of this institutional model of public administration.</w:t>
      </w:r>
    </w:p>
    <w:p w:rsidR="00C0441B"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p>
    <w:p w:rsidR="00C263B8"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C0441B"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consolidation of the regulatory role of the State </w:t>
      </w:r>
      <w:proofErr w:type="gramStart"/>
      <w:r>
        <w:rPr>
          <w:rFonts w:ascii="Times New Roman" w:eastAsia="Times New Roman" w:hAnsi="Times New Roman" w:cs="Times New Roman"/>
          <w:sz w:val="24"/>
          <w:szCs w:val="24"/>
        </w:rPr>
        <w:t>was accompanied</w:t>
      </w:r>
      <w:proofErr w:type="gramEnd"/>
      <w:r>
        <w:rPr>
          <w:rFonts w:ascii="Times New Roman" w:eastAsia="Times New Roman" w:hAnsi="Times New Roman" w:cs="Times New Roman"/>
          <w:sz w:val="24"/>
          <w:szCs w:val="24"/>
        </w:rPr>
        <w:t xml:space="preserve"> by the establishment of specialized agencies that play a regulatory role over private companies in several sectors that include energy, water, telecommunications, pharmaceutical industry, among others, in several countries of the world (</w:t>
      </w:r>
      <w:proofErr w:type="spellStart"/>
      <w:r>
        <w:rPr>
          <w:rFonts w:ascii="Times New Roman" w:eastAsia="Times New Roman" w:hAnsi="Times New Roman" w:cs="Times New Roman"/>
          <w:sz w:val="24"/>
          <w:szCs w:val="24"/>
        </w:rPr>
        <w:t>Jordana</w:t>
      </w:r>
      <w:proofErr w:type="spellEnd"/>
      <w:r>
        <w:rPr>
          <w:rFonts w:ascii="Times New Roman" w:eastAsia="Times New Roman" w:hAnsi="Times New Roman" w:cs="Times New Roman"/>
          <w:sz w:val="24"/>
          <w:szCs w:val="24"/>
        </w:rPr>
        <w:t xml:space="preserve"> et al., 2011). The IRA model </w:t>
      </w:r>
      <w:proofErr w:type="gramStart"/>
      <w:r>
        <w:rPr>
          <w:rFonts w:ascii="Times New Roman" w:eastAsia="Times New Roman" w:hAnsi="Times New Roman" w:cs="Times New Roman"/>
          <w:sz w:val="24"/>
          <w:szCs w:val="24"/>
        </w:rPr>
        <w:t>is rescued</w:t>
      </w:r>
      <w:proofErr w:type="gramEnd"/>
      <w:r>
        <w:rPr>
          <w:rFonts w:ascii="Times New Roman" w:eastAsia="Times New Roman" w:hAnsi="Times New Roman" w:cs="Times New Roman"/>
          <w:sz w:val="24"/>
          <w:szCs w:val="24"/>
        </w:rPr>
        <w:t xml:space="preserve"> in this new context of the State’s regulatory role, based on the premise of credibility and guarantee of long-term contracts, in a post-privatization context.</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several authors, IRAs cannot be seen as organizations impervious to the influence of interest groups, since the process of selecting and appointing agency staff reflects some kind of political identity with the incumbent (Justen </w:t>
      </w:r>
      <w:proofErr w:type="spellStart"/>
      <w:r>
        <w:rPr>
          <w:rFonts w:ascii="Times New Roman" w:eastAsia="Times New Roman" w:hAnsi="Times New Roman" w:cs="Times New Roman"/>
          <w:sz w:val="24"/>
          <w:szCs w:val="24"/>
        </w:rPr>
        <w:t>Filho</w:t>
      </w:r>
      <w:proofErr w:type="spellEnd"/>
      <w:r>
        <w:rPr>
          <w:rFonts w:ascii="Times New Roman" w:eastAsia="Times New Roman" w:hAnsi="Times New Roman" w:cs="Times New Roman"/>
          <w:sz w:val="24"/>
          <w:szCs w:val="24"/>
        </w:rPr>
        <w:t xml:space="preserve">, 2006; </w:t>
      </w:r>
      <w:proofErr w:type="spellStart"/>
      <w:r>
        <w:rPr>
          <w:rFonts w:ascii="Times New Roman" w:eastAsia="Times New Roman" w:hAnsi="Times New Roman" w:cs="Times New Roman"/>
          <w:sz w:val="24"/>
          <w:szCs w:val="24"/>
        </w:rPr>
        <w:t>Meirelles</w:t>
      </w:r>
      <w:proofErr w:type="spellEnd"/>
      <w:r>
        <w:rPr>
          <w:rFonts w:ascii="Times New Roman" w:eastAsia="Times New Roman" w:hAnsi="Times New Roman" w:cs="Times New Roman"/>
          <w:sz w:val="24"/>
          <w:szCs w:val="24"/>
        </w:rPr>
        <w:t xml:space="preserve"> and Oliva, 2006; Wu, 2008). </w:t>
      </w:r>
      <w:proofErr w:type="spellStart"/>
      <w:r>
        <w:rPr>
          <w:rFonts w:ascii="Times New Roman" w:eastAsia="Times New Roman" w:hAnsi="Times New Roman" w:cs="Times New Roman"/>
          <w:sz w:val="24"/>
          <w:szCs w:val="24"/>
        </w:rPr>
        <w:t>Nunes</w:t>
      </w:r>
      <w:proofErr w:type="spellEnd"/>
      <w:r>
        <w:rPr>
          <w:rFonts w:ascii="Times New Roman" w:eastAsia="Times New Roman" w:hAnsi="Times New Roman" w:cs="Times New Roman"/>
          <w:sz w:val="24"/>
          <w:szCs w:val="24"/>
        </w:rPr>
        <w:t xml:space="preserve"> (2007) notes </w:t>
      </w:r>
      <w:proofErr w:type="gramStart"/>
      <w:r>
        <w:rPr>
          <w:rFonts w:ascii="Times New Roman" w:eastAsia="Times New Roman" w:hAnsi="Times New Roman" w:cs="Times New Roman"/>
          <w:sz w:val="24"/>
          <w:szCs w:val="24"/>
        </w:rPr>
        <w:t>that ”</w:t>
      </w:r>
      <w:proofErr w:type="gramEnd"/>
      <w:r>
        <w:rPr>
          <w:rFonts w:ascii="Times New Roman" w:eastAsia="Times New Roman" w:hAnsi="Times New Roman" w:cs="Times New Roman"/>
          <w:sz w:val="24"/>
          <w:szCs w:val="24"/>
        </w:rPr>
        <w:t xml:space="preserve">The personalities of independent regulatory authorities are chosen on the merits of the politicians who choose them (which is not a guarantee that such ”merits ”are real) (p.14). The author believes that the existing effort to emphasize that regulatory agencies are politically neutral technical agencies, which exercise imminently technical functions, is, in fact, futile, since they exercise political functions and make political decisions since they result in social and economic repercussions. </w:t>
      </w:r>
      <w:proofErr w:type="gramStart"/>
      <w:r>
        <w:rPr>
          <w:rFonts w:ascii="Times New Roman" w:eastAsia="Times New Roman" w:hAnsi="Times New Roman" w:cs="Times New Roman"/>
          <w:sz w:val="24"/>
          <w:szCs w:val="24"/>
        </w:rPr>
        <w:t>policies</w:t>
      </w:r>
      <w:proofErr w:type="gramEnd"/>
      <w:r>
        <w:rPr>
          <w:rFonts w:ascii="Times New Roman" w:eastAsia="Times New Roman" w:hAnsi="Times New Roman" w:cs="Times New Roman"/>
          <w:sz w:val="24"/>
          <w:szCs w:val="24"/>
        </w:rPr>
        <w:t>.</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the questioning of the technicity of the IRAs, many perspectives exist that analyze the agencies from the point of view of capture. Stigler’s (1971) theory of economic regulation already stressed the important aspect of capturing regulators by the regulated industry. In his view, the benefits obtained by interest groups come from the use of the political machine to serve its purposes. Evaluating the industry-related interest groups in the United States, Stigler (1971: 3) states </w:t>
      </w:r>
      <w:proofErr w:type="gramStart"/>
      <w:r>
        <w:rPr>
          <w:rFonts w:ascii="Times New Roman" w:eastAsia="Times New Roman" w:hAnsi="Times New Roman" w:cs="Times New Roman"/>
          <w:sz w:val="24"/>
          <w:szCs w:val="24"/>
        </w:rPr>
        <w:t>that ”</w:t>
      </w:r>
      <w:proofErr w:type="gramEnd"/>
      <w:r>
        <w:rPr>
          <w:rFonts w:ascii="Times New Roman" w:eastAsia="Times New Roman" w:hAnsi="Times New Roman" w:cs="Times New Roman"/>
          <w:sz w:val="24"/>
          <w:szCs w:val="24"/>
        </w:rPr>
        <w:t>regulation is acquired by industry and is designed and operated primarily for its benefit”.</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Brazil, it is clear to </w:t>
      </w:r>
      <w:proofErr w:type="spellStart"/>
      <w:r>
        <w:rPr>
          <w:rFonts w:ascii="Times New Roman" w:eastAsia="Times New Roman" w:hAnsi="Times New Roman" w:cs="Times New Roman"/>
          <w:sz w:val="24"/>
          <w:szCs w:val="24"/>
        </w:rPr>
        <w:t>Nunes</w:t>
      </w:r>
      <w:proofErr w:type="spellEnd"/>
      <w:r>
        <w:rPr>
          <w:rFonts w:ascii="Times New Roman" w:eastAsia="Times New Roman" w:hAnsi="Times New Roman" w:cs="Times New Roman"/>
          <w:sz w:val="24"/>
          <w:szCs w:val="24"/>
        </w:rPr>
        <w:t xml:space="preserve"> (2007) that competent people in a certain sector usually work in companies in this sector. It is not </w:t>
      </w:r>
      <w:proofErr w:type="gramStart"/>
      <w:r>
        <w:rPr>
          <w:rFonts w:ascii="Times New Roman" w:eastAsia="Times New Roman" w:hAnsi="Times New Roman" w:cs="Times New Roman"/>
          <w:sz w:val="24"/>
          <w:szCs w:val="24"/>
        </w:rPr>
        <w:t>surprising,</w:t>
      </w:r>
      <w:proofErr w:type="gramEnd"/>
      <w:r>
        <w:rPr>
          <w:rFonts w:ascii="Times New Roman" w:eastAsia="Times New Roman" w:hAnsi="Times New Roman" w:cs="Times New Roman"/>
          <w:sz w:val="24"/>
          <w:szCs w:val="24"/>
        </w:rPr>
        <w:t xml:space="preserve"> therefore, that the </w:t>
      </w:r>
      <w:r>
        <w:rPr>
          <w:rFonts w:ascii="Times New Roman" w:eastAsia="Times New Roman" w:hAnsi="Times New Roman" w:cs="Times New Roman"/>
          <w:sz w:val="24"/>
          <w:szCs w:val="24"/>
        </w:rPr>
        <w:lastRenderedPageBreak/>
        <w:t>professionals are chosen for their experience and competence often leave regulated companies to join regulatory bodies. In addition, once the term of office has expired and some quarantine period has passed, there will be a desire for the former leader to return to the old place of work, and certainly to more prominent and better-paid places than that occupied before assuming the term in a collegiate board of an IRA.</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 few empirical studies that have verified the professional trajectory of IRA directors from the point of view of capture, the work of Eckert (1981) and Spiller (1988) stands out. Both developed the methodology used to analyze the career trajectory of the regulators and used the starting point for the operationalization of the present research.</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Eckert’s (1981) seminal study demonstrates that the typical career path of regulators consists of a strong performance in the public sector in the run-up to IRA’s direction with a high likelihood of subsequent allocation, either directly or indirectly, to the regulated industry that was under its jurisdiction. During the research, the author noted that the former leader tended to </w:t>
      </w:r>
      <w:proofErr w:type="gramStart"/>
      <w:r>
        <w:rPr>
          <w:rFonts w:ascii="Times New Roman" w:eastAsia="Times New Roman" w:hAnsi="Times New Roman" w:cs="Times New Roman"/>
          <w:sz w:val="24"/>
          <w:szCs w:val="24"/>
        </w:rPr>
        <w:t>be captured</w:t>
      </w:r>
      <w:proofErr w:type="gramEnd"/>
      <w:r>
        <w:rPr>
          <w:rFonts w:ascii="Times New Roman" w:eastAsia="Times New Roman" w:hAnsi="Times New Roman" w:cs="Times New Roman"/>
          <w:sz w:val="24"/>
          <w:szCs w:val="24"/>
        </w:rPr>
        <w:t xml:space="preserve"> by the companies he regulated. The author points out the rewards that regulators could get from the IRA board, since managers did not receive high salaries (the wage </w:t>
      </w:r>
      <w:proofErr w:type="gramStart"/>
      <w:r>
        <w:rPr>
          <w:rFonts w:ascii="Times New Roman" w:eastAsia="Times New Roman" w:hAnsi="Times New Roman" w:cs="Times New Roman"/>
          <w:sz w:val="24"/>
          <w:szCs w:val="24"/>
        </w:rPr>
        <w:t>was fixed</w:t>
      </w:r>
      <w:proofErr w:type="gramEnd"/>
      <w:r>
        <w:rPr>
          <w:rFonts w:ascii="Times New Roman" w:eastAsia="Times New Roman" w:hAnsi="Times New Roman" w:cs="Times New Roman"/>
          <w:sz w:val="24"/>
          <w:szCs w:val="24"/>
        </w:rPr>
        <w:t xml:space="preserve"> by statute): there was the expectation of high-paying jobs in the regulated private sector that surpassed the uncertain prospect of re-employment of the position in the board of directors.</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problems of the regulatory agency is the competition between politicians and interest groups for the influence on the decisions of the bureaucrats - regulators. </w:t>
      </w:r>
      <w:proofErr w:type="gramStart"/>
      <w:r>
        <w:rPr>
          <w:rFonts w:ascii="Times New Roman" w:eastAsia="Times New Roman" w:hAnsi="Times New Roman" w:cs="Times New Roman"/>
          <w:sz w:val="24"/>
          <w:szCs w:val="24"/>
        </w:rPr>
        <w:t>Spiller (1988), based on data previously collected by Eckert (1981), analyzed the regulators of three Interstate Commerce Commission (CAC) and the Federal Communications Commission (FCC) from several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age, term of office, pre-agency and post-agency experience, agency discretionary budget, etc.) to create a model capable of estimating the likelihood that a regulator will act in the regulated industry following as the main determinants for this type of choice.</w:t>
      </w:r>
      <w:proofErr w:type="gramEnd"/>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some cases, the regulators </w:t>
      </w:r>
      <w:proofErr w:type="gramStart"/>
      <w:r>
        <w:rPr>
          <w:rFonts w:ascii="Times New Roman" w:eastAsia="Times New Roman" w:hAnsi="Times New Roman" w:cs="Times New Roman"/>
          <w:sz w:val="24"/>
          <w:szCs w:val="24"/>
        </w:rPr>
        <w:t>were appointed</w:t>
      </w:r>
      <w:proofErr w:type="gramEnd"/>
      <w:r>
        <w:rPr>
          <w:rFonts w:ascii="Times New Roman" w:eastAsia="Times New Roman" w:hAnsi="Times New Roman" w:cs="Times New Roman"/>
          <w:sz w:val="24"/>
          <w:szCs w:val="24"/>
        </w:rPr>
        <w:t xml:space="preserve"> to better positions or even positions in the ministry. </w:t>
      </w:r>
      <w:proofErr w:type="gramStart"/>
      <w:r>
        <w:rPr>
          <w:rFonts w:ascii="Times New Roman" w:eastAsia="Times New Roman" w:hAnsi="Times New Roman" w:cs="Times New Roman"/>
          <w:sz w:val="24"/>
          <w:szCs w:val="24"/>
        </w:rPr>
        <w:t>According to Spiller, this is one of the ways politicians find to reward the regulators who have been faithful to them.</w:t>
      </w:r>
      <w:proofErr w:type="gramEnd"/>
      <w:r>
        <w:rPr>
          <w:rFonts w:ascii="Times New Roman" w:eastAsia="Times New Roman" w:hAnsi="Times New Roman" w:cs="Times New Roman"/>
          <w:sz w:val="24"/>
          <w:szCs w:val="24"/>
        </w:rPr>
        <w:t xml:space="preserve"> He also distinguished the direct employment relationship, that is, an employee of a regulated company, the indirect relationship that means the provision of service to the regulated organization, such as </w:t>
      </w:r>
      <w:r>
        <w:rPr>
          <w:rFonts w:ascii="Times New Roman" w:eastAsia="Times New Roman" w:hAnsi="Times New Roman" w:cs="Times New Roman"/>
          <w:sz w:val="24"/>
          <w:szCs w:val="24"/>
        </w:rPr>
        <w:lastRenderedPageBreak/>
        <w:t xml:space="preserve">working for a law firm that advises industry on its legal example. The author also points out that regulators have the power to distribute income from regulation. As </w:t>
      </w:r>
      <w:proofErr w:type="gramStart"/>
      <w:r>
        <w:rPr>
          <w:rFonts w:ascii="Times New Roman" w:eastAsia="Times New Roman" w:hAnsi="Times New Roman" w:cs="Times New Roman"/>
          <w:sz w:val="24"/>
          <w:szCs w:val="24"/>
        </w:rPr>
        <w:t>regulators are appointed by politicians</w:t>
      </w:r>
      <w:proofErr w:type="gramEnd"/>
      <w:r>
        <w:rPr>
          <w:rFonts w:ascii="Times New Roman" w:eastAsia="Times New Roman" w:hAnsi="Times New Roman" w:cs="Times New Roman"/>
          <w:sz w:val="24"/>
          <w:szCs w:val="24"/>
        </w:rPr>
        <w:t>, they are able to derive benefits from potential regulators, whether in the form of advantages for electorally interesting segments or in the form of prior work on their teams.</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competition between politicians and interest groups for the influence on the decisions of the bureaucrats </w:t>
      </w:r>
      <w:proofErr w:type="gramStart"/>
      <w:r>
        <w:rPr>
          <w:rFonts w:ascii="Times New Roman" w:eastAsia="Times New Roman" w:hAnsi="Times New Roman" w:cs="Times New Roman"/>
          <w:sz w:val="24"/>
          <w:szCs w:val="24"/>
        </w:rPr>
        <w:t>is narrated</w:t>
      </w:r>
      <w:proofErr w:type="gramEnd"/>
      <w:r>
        <w:rPr>
          <w:rFonts w:ascii="Times New Roman" w:eastAsia="Times New Roman" w:hAnsi="Times New Roman" w:cs="Times New Roman"/>
          <w:sz w:val="24"/>
          <w:szCs w:val="24"/>
        </w:rPr>
        <w:t xml:space="preserve"> as one of the main problems of the agency in the seminal study of Spiller. The hypothesis is that much of this compensation takes the form of well-paid post-agency jobs, directly or indirectly related to the regulated economic sectors. In his analysis, working for regulated companies, their partners or suppliers after the end of their term in a regulatory agency may be an indicator that the regulator is rewarded for decisions he has taken to benefit the regulated industry.</w:t>
      </w:r>
    </w:p>
    <w:p w:rsidR="00C263B8" w:rsidRDefault="00C0441B">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we analyze some critical dimensions regarding the Brazilian regulators’ autonomy, focusing on their professional and political trajectories during pre- and post-term period. Thus, when analyzing these dimensions, it is possible to observe whether, in practice, the autonomy of Brazilian regulators is a myth or a fact, observable in the daily routine of regulation.</w:t>
      </w:r>
    </w:p>
    <w:p w:rsidR="00C263B8" w:rsidRDefault="00C263B8">
      <w:pPr>
        <w:pBdr>
          <w:top w:val="nil"/>
          <w:left w:val="nil"/>
          <w:bottom w:val="nil"/>
          <w:right w:val="nil"/>
          <w:between w:val="nil"/>
        </w:pBdr>
        <w:spacing w:before="0" w:after="0" w:line="360" w:lineRule="auto"/>
        <w:ind w:left="284" w:firstLine="436"/>
        <w:rPr>
          <w:rFonts w:ascii="Times New Roman" w:eastAsia="Times New Roman" w:hAnsi="Times New Roman" w:cs="Times New Roman"/>
          <w:sz w:val="24"/>
          <w:szCs w:val="24"/>
        </w:rPr>
      </w:pPr>
    </w:p>
    <w:p w:rsidR="00C263B8"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w:t>
      </w:r>
    </w:p>
    <w:p w:rsidR="00C0441B"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sz w:val="24"/>
          <w:szCs w:val="24"/>
        </w:rPr>
      </w:pPr>
    </w:p>
    <w:p w:rsidR="00C263B8" w:rsidRDefault="00C0441B">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draws on balanced panel data over several indicators related to the expertise of regulators from </w:t>
      </w:r>
      <w:proofErr w:type="gramStart"/>
      <w:r>
        <w:rPr>
          <w:rFonts w:ascii="Times New Roman" w:eastAsia="Times New Roman" w:hAnsi="Times New Roman" w:cs="Times New Roman"/>
          <w:sz w:val="24"/>
          <w:szCs w:val="24"/>
        </w:rPr>
        <w:t>IRAs</w:t>
      </w:r>
      <w:proofErr w:type="gramEnd"/>
      <w:r>
        <w:rPr>
          <w:rFonts w:ascii="Times New Roman" w:eastAsia="Times New Roman" w:hAnsi="Times New Roman" w:cs="Times New Roman"/>
          <w:sz w:val="24"/>
          <w:szCs w:val="24"/>
        </w:rPr>
        <w:t xml:space="preserve"> collegiate board</w:t>
      </w:r>
      <w:r w:rsidR="00D275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1997 to 2018. The data set covers regulators from ten federal regulatory agencies: National Civil Aviation Agency (ANAC), National Film Agency (ANCINE), National Electrical Power Agency (ANEEL), National Telecommunications Agency (ANATEL), National Waterway Transportation Agency (ANTAQ), National Ground Transportation Agency (ANTT), National Health Surveillance Agency (ANVISA), National Health Agency (ANS), National Petroleum Agency (ANP), and National Water Agency (ANA). Because of its recent creation, the data do not cover the National Mining Agency (ANM), which </w:t>
      </w:r>
      <w:r>
        <w:rPr>
          <w:rFonts w:ascii="Times New Roman" w:eastAsia="Times New Roman" w:hAnsi="Times New Roman" w:cs="Times New Roman"/>
          <w:sz w:val="24"/>
          <w:szCs w:val="24"/>
        </w:rPr>
        <w:lastRenderedPageBreak/>
        <w:t xml:space="preserve">replaced the previous National Department of Mineral Production (DNPM) in December 2017. The collegiate board from a federal regulatory agency consists of directors chosen by a specific process: the chief of the executive branch, i.e., Brazil’s president appoint them to Senate confirmation before taking over the office. </w:t>
      </w:r>
    </w:p>
    <w:p w:rsidR="00C263B8" w:rsidRDefault="00C0441B">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sample </w:t>
      </w:r>
      <w:r w:rsidR="00D2754C">
        <w:rPr>
          <w:rFonts w:ascii="Times New Roman" w:eastAsia="Times New Roman" w:hAnsi="Times New Roman" w:cs="Times New Roman"/>
          <w:sz w:val="24"/>
          <w:szCs w:val="24"/>
        </w:rPr>
        <w:t>comprises</w:t>
      </w:r>
      <w:r>
        <w:rPr>
          <w:rFonts w:ascii="Times New Roman" w:eastAsia="Times New Roman" w:hAnsi="Times New Roman" w:cs="Times New Roman"/>
          <w:sz w:val="24"/>
          <w:szCs w:val="24"/>
        </w:rPr>
        <w:t xml:space="preserve"> 117 directors’ occupational trajectories five years before and five years after term and report yearly based information. The main source of data is the Federal Senate of Brazil that provides the curricula vit</w:t>
      </w:r>
      <w:r w:rsidR="00D2754C">
        <w:rPr>
          <w:rFonts w:ascii="Times New Roman" w:eastAsia="Times New Roman" w:hAnsi="Times New Roman" w:cs="Times New Roman"/>
          <w:sz w:val="24"/>
          <w:szCs w:val="24"/>
        </w:rPr>
        <w:t>ae</w:t>
      </w:r>
      <w:r>
        <w:rPr>
          <w:rFonts w:ascii="Times New Roman" w:eastAsia="Times New Roman" w:hAnsi="Times New Roman" w:cs="Times New Roman"/>
          <w:sz w:val="24"/>
          <w:szCs w:val="24"/>
        </w:rPr>
        <w:t xml:space="preserve"> for every director nominated to compose the collegiate board of a federal regulatory agency. These CVs highlight the academic training, level of education and experience of professionals. We investigated political affiliation in the Supreme Electoral Tribunal (TSE) database, which provides a list of affiliates per party in each state of the federation. We also extract data from the Annual Social Information Report (RAIS), an official registry of all formal workers in Brazil, to capture social characteristics, e.g., employer, occupation according to the Brazilian Classification of Occupations (CBO), compensation and work hours. Finally, we collected both governmental and non-governmental print (newspapers, magazines) and electronic (websites) media to cover information such as allegations of corruption, legal proceedings, and politic</w:t>
      </w:r>
      <w:r w:rsidR="00D2754C">
        <w:rPr>
          <w:rFonts w:ascii="Times New Roman" w:eastAsia="Times New Roman" w:hAnsi="Times New Roman" w:cs="Times New Roman"/>
          <w:sz w:val="24"/>
          <w:szCs w:val="24"/>
        </w:rPr>
        <w:t>al scandals. Table 1 reports</w:t>
      </w:r>
      <w:r>
        <w:rPr>
          <w:rFonts w:ascii="Times New Roman" w:eastAsia="Times New Roman" w:hAnsi="Times New Roman" w:cs="Times New Roman"/>
          <w:sz w:val="24"/>
          <w:szCs w:val="24"/>
        </w:rPr>
        <w:t xml:space="preserve"> individual variables and data sources considered in this article.</w:t>
      </w:r>
    </w:p>
    <w:p w:rsidR="00C263B8" w:rsidRPr="00C0441B" w:rsidRDefault="00C0441B" w:rsidP="00C0441B">
      <w:pPr>
        <w:spacing w:before="0" w:after="0" w:line="480" w:lineRule="auto"/>
        <w:ind w:firstLine="0"/>
        <w:jc w:val="center"/>
        <w:rPr>
          <w:rFonts w:ascii="Times New Roman" w:eastAsia="Times New Roman" w:hAnsi="Times New Roman" w:cs="Times New Roman"/>
          <w:sz w:val="20"/>
          <w:szCs w:val="20"/>
        </w:rPr>
      </w:pPr>
      <w:r w:rsidRPr="00C0441B">
        <w:rPr>
          <w:rFonts w:ascii="Times New Roman" w:eastAsia="Times New Roman" w:hAnsi="Times New Roman" w:cs="Times New Roman"/>
          <w:sz w:val="20"/>
          <w:szCs w:val="20"/>
        </w:rPr>
        <w:t>Table 1</w:t>
      </w:r>
      <w:r>
        <w:rPr>
          <w:rFonts w:ascii="Times New Roman" w:eastAsia="Times New Roman" w:hAnsi="Times New Roman" w:cs="Times New Roman"/>
          <w:sz w:val="20"/>
          <w:szCs w:val="20"/>
        </w:rPr>
        <w:t>.</w:t>
      </w:r>
      <w:r w:rsidRPr="00C0441B">
        <w:rPr>
          <w:rFonts w:ascii="Times New Roman" w:eastAsia="Times New Roman" w:hAnsi="Times New Roman" w:cs="Times New Roman"/>
          <w:sz w:val="20"/>
          <w:szCs w:val="20"/>
        </w:rPr>
        <w:t xml:space="preserve"> Definitions of Study Variables and Data Sources</w:t>
      </w:r>
    </w:p>
    <w:tbl>
      <w:tblPr>
        <w:tblStyle w:val="a"/>
        <w:tblW w:w="8180" w:type="dxa"/>
        <w:tblInd w:w="0" w:type="dxa"/>
        <w:tblLayout w:type="fixed"/>
        <w:tblLook w:val="0400" w:firstRow="0" w:lastRow="0" w:firstColumn="0" w:lastColumn="0" w:noHBand="0" w:noVBand="1"/>
      </w:tblPr>
      <w:tblGrid>
        <w:gridCol w:w="1700"/>
        <w:gridCol w:w="5000"/>
        <w:gridCol w:w="1480"/>
      </w:tblGrid>
      <w:tr w:rsidR="00C263B8">
        <w:trPr>
          <w:trHeight w:val="300"/>
        </w:trPr>
        <w:tc>
          <w:tcPr>
            <w:tcW w:w="1700" w:type="dxa"/>
            <w:tcBorders>
              <w:top w:val="single" w:sz="4" w:space="0" w:color="000000"/>
              <w:left w:val="nil"/>
              <w:bottom w:val="single" w:sz="8" w:space="0" w:color="000000"/>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Variables</w:t>
            </w:r>
          </w:p>
        </w:tc>
        <w:tc>
          <w:tcPr>
            <w:tcW w:w="5000" w:type="dxa"/>
            <w:tcBorders>
              <w:top w:val="single" w:sz="4" w:space="0" w:color="000000"/>
              <w:left w:val="nil"/>
              <w:bottom w:val="single" w:sz="8" w:space="0" w:color="000000"/>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Definitions</w:t>
            </w:r>
          </w:p>
        </w:tc>
        <w:tc>
          <w:tcPr>
            <w:tcW w:w="1480" w:type="dxa"/>
            <w:tcBorders>
              <w:top w:val="single" w:sz="4" w:space="0" w:color="000000"/>
              <w:left w:val="nil"/>
              <w:bottom w:val="single" w:sz="8" w:space="0" w:color="000000"/>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Sources</w:t>
            </w:r>
          </w:p>
        </w:tc>
      </w:tr>
      <w:tr w:rsidR="00C263B8">
        <w:trPr>
          <w:trHeight w:val="300"/>
        </w:trPr>
        <w:tc>
          <w:tcPr>
            <w:tcW w:w="1700" w:type="dxa"/>
            <w:tcBorders>
              <w:top w:val="nil"/>
              <w:left w:val="nil"/>
              <w:bottom w:val="nil"/>
              <w:right w:val="nil"/>
            </w:tcBorders>
            <w:shd w:val="clear" w:color="auto" w:fill="auto"/>
            <w:vAlign w:val="center"/>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Gender</w:t>
            </w:r>
          </w:p>
        </w:tc>
        <w:tc>
          <w:tcPr>
            <w:tcW w:w="500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 or Woman</w:t>
            </w:r>
          </w:p>
        </w:tc>
        <w:tc>
          <w:tcPr>
            <w:tcW w:w="148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RAIS</w:t>
            </w:r>
          </w:p>
        </w:tc>
      </w:tr>
      <w:tr w:rsidR="00C263B8">
        <w:trPr>
          <w:trHeight w:val="780"/>
        </w:trPr>
        <w:tc>
          <w:tcPr>
            <w:tcW w:w="1700" w:type="dxa"/>
            <w:tcBorders>
              <w:top w:val="nil"/>
              <w:left w:val="nil"/>
              <w:bottom w:val="nil"/>
              <w:right w:val="nil"/>
            </w:tcBorders>
            <w:shd w:val="clear" w:color="auto" w:fill="auto"/>
            <w:vAlign w:val="center"/>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Political </w:t>
            </w:r>
            <w:r>
              <w:rPr>
                <w:rFonts w:ascii="Times New Roman" w:eastAsia="Times New Roman" w:hAnsi="Times New Roman" w:cs="Times New Roman"/>
                <w:sz w:val="20"/>
                <w:szCs w:val="20"/>
              </w:rPr>
              <w:t>Affiliation</w:t>
            </w:r>
          </w:p>
        </w:tc>
        <w:tc>
          <w:tcPr>
            <w:tcW w:w="500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one is found on the list of affiliates per party in each state of the federation </w:t>
            </w:r>
            <w:r>
              <w:rPr>
                <w:rFonts w:ascii="Times New Roman" w:eastAsia="Times New Roman" w:hAnsi="Times New Roman" w:cs="Times New Roman"/>
                <w:sz w:val="20"/>
                <w:szCs w:val="20"/>
              </w:rPr>
              <w:t>and/or</w:t>
            </w:r>
            <w:r>
              <w:rPr>
                <w:rFonts w:ascii="Times New Roman" w:eastAsia="Times New Roman" w:hAnsi="Times New Roman" w:cs="Times New Roman"/>
                <w:color w:val="000000"/>
                <w:sz w:val="20"/>
                <w:szCs w:val="20"/>
              </w:rPr>
              <w:t xml:space="preserve"> holds a legislative, administrative or judicial office (either appointed or elected)</w:t>
            </w:r>
          </w:p>
        </w:tc>
        <w:tc>
          <w:tcPr>
            <w:tcW w:w="148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TSE and Senate</w:t>
            </w:r>
          </w:p>
        </w:tc>
      </w:tr>
      <w:tr w:rsidR="00C263B8">
        <w:trPr>
          <w:trHeight w:val="520"/>
        </w:trPr>
        <w:tc>
          <w:tcPr>
            <w:tcW w:w="1700" w:type="dxa"/>
            <w:tcBorders>
              <w:top w:val="nil"/>
              <w:left w:val="nil"/>
              <w:bottom w:val="nil"/>
              <w:right w:val="nil"/>
            </w:tcBorders>
            <w:shd w:val="clear" w:color="auto" w:fill="auto"/>
            <w:vAlign w:val="center"/>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Academia</w:t>
            </w:r>
          </w:p>
        </w:tc>
        <w:tc>
          <w:tcPr>
            <w:tcW w:w="500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one has a Doctoral or Master of Science degree </w:t>
            </w:r>
            <w:r>
              <w:rPr>
                <w:rFonts w:ascii="Times New Roman" w:eastAsia="Times New Roman" w:hAnsi="Times New Roman" w:cs="Times New Roman"/>
                <w:sz w:val="20"/>
                <w:szCs w:val="20"/>
              </w:rPr>
              <w:t>and/or</w:t>
            </w:r>
            <w:r>
              <w:rPr>
                <w:rFonts w:ascii="Times New Roman" w:eastAsia="Times New Roman" w:hAnsi="Times New Roman" w:cs="Times New Roman"/>
                <w:color w:val="000000"/>
                <w:sz w:val="20"/>
                <w:szCs w:val="20"/>
              </w:rPr>
              <w:t xml:space="preserve"> holds a position in academia</w:t>
            </w:r>
          </w:p>
        </w:tc>
        <w:tc>
          <w:tcPr>
            <w:tcW w:w="148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Senate </w:t>
            </w:r>
          </w:p>
        </w:tc>
      </w:tr>
      <w:tr w:rsidR="00C263B8">
        <w:trPr>
          <w:trHeight w:val="300"/>
        </w:trPr>
        <w:tc>
          <w:tcPr>
            <w:tcW w:w="1700" w:type="dxa"/>
            <w:tcBorders>
              <w:top w:val="nil"/>
              <w:left w:val="nil"/>
              <w:bottom w:val="nil"/>
              <w:right w:val="nil"/>
            </w:tcBorders>
            <w:shd w:val="clear" w:color="auto" w:fill="auto"/>
            <w:vAlign w:val="center"/>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Regulatory Agency</w:t>
            </w:r>
          </w:p>
        </w:tc>
        <w:tc>
          <w:tcPr>
            <w:tcW w:w="500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is a public servant on behalf of a regulatory agency</w:t>
            </w:r>
          </w:p>
        </w:tc>
        <w:tc>
          <w:tcPr>
            <w:tcW w:w="148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Senate </w:t>
            </w:r>
          </w:p>
        </w:tc>
      </w:tr>
      <w:tr w:rsidR="00C263B8">
        <w:trPr>
          <w:trHeight w:val="520"/>
        </w:trPr>
        <w:tc>
          <w:tcPr>
            <w:tcW w:w="1700" w:type="dxa"/>
            <w:tcBorders>
              <w:top w:val="nil"/>
              <w:left w:val="nil"/>
              <w:bottom w:val="nil"/>
              <w:right w:val="nil"/>
            </w:tcBorders>
            <w:shd w:val="clear" w:color="auto" w:fill="auto"/>
            <w:vAlign w:val="center"/>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Public Service</w:t>
            </w:r>
          </w:p>
        </w:tc>
        <w:tc>
          <w:tcPr>
            <w:tcW w:w="500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is a public servant on behalf of any government department excluding regulatory agencies</w:t>
            </w:r>
          </w:p>
        </w:tc>
        <w:tc>
          <w:tcPr>
            <w:tcW w:w="148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Senate </w:t>
            </w:r>
          </w:p>
        </w:tc>
      </w:tr>
      <w:tr w:rsidR="00C263B8">
        <w:trPr>
          <w:trHeight w:val="300"/>
        </w:trPr>
        <w:tc>
          <w:tcPr>
            <w:tcW w:w="1700" w:type="dxa"/>
            <w:tcBorders>
              <w:top w:val="nil"/>
              <w:left w:val="nil"/>
              <w:bottom w:val="nil"/>
              <w:right w:val="nil"/>
            </w:tcBorders>
            <w:shd w:val="clear" w:color="auto" w:fill="auto"/>
            <w:vAlign w:val="center"/>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Industry</w:t>
            </w:r>
          </w:p>
        </w:tc>
        <w:tc>
          <w:tcPr>
            <w:tcW w:w="500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works in the regulated industry</w:t>
            </w:r>
          </w:p>
        </w:tc>
        <w:tc>
          <w:tcPr>
            <w:tcW w:w="1480" w:type="dxa"/>
            <w:tcBorders>
              <w:top w:val="nil"/>
              <w:left w:val="nil"/>
              <w:bottom w:val="nil"/>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RAIS and Senate</w:t>
            </w:r>
          </w:p>
        </w:tc>
      </w:tr>
      <w:tr w:rsidR="00C263B8">
        <w:trPr>
          <w:trHeight w:val="540"/>
        </w:trPr>
        <w:tc>
          <w:tcPr>
            <w:tcW w:w="1700" w:type="dxa"/>
            <w:tcBorders>
              <w:top w:val="nil"/>
              <w:left w:val="nil"/>
              <w:bottom w:val="single" w:sz="8" w:space="0" w:color="000000"/>
              <w:right w:val="nil"/>
            </w:tcBorders>
            <w:shd w:val="clear" w:color="auto" w:fill="auto"/>
            <w:vAlign w:val="center"/>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Consultancy</w:t>
            </w:r>
          </w:p>
        </w:tc>
        <w:tc>
          <w:tcPr>
            <w:tcW w:w="5000" w:type="dxa"/>
            <w:tcBorders>
              <w:top w:val="nil"/>
              <w:left w:val="nil"/>
              <w:bottom w:val="single" w:sz="8" w:space="0" w:color="000000"/>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one works as a consultant that provides professional advice related to the regulated industry</w:t>
            </w:r>
          </w:p>
        </w:tc>
        <w:tc>
          <w:tcPr>
            <w:tcW w:w="1480" w:type="dxa"/>
            <w:tcBorders>
              <w:top w:val="nil"/>
              <w:left w:val="nil"/>
              <w:bottom w:val="single" w:sz="8" w:space="0" w:color="000000"/>
              <w:right w:val="nil"/>
            </w:tcBorders>
            <w:shd w:val="clear" w:color="auto" w:fill="auto"/>
            <w:vAlign w:val="bottom"/>
          </w:tcPr>
          <w:p w:rsidR="00C263B8" w:rsidRDefault="00C0441B">
            <w:pPr>
              <w:spacing w:before="0" w:after="0" w:line="240" w:lineRule="auto"/>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RAIS and Senate</w:t>
            </w:r>
          </w:p>
        </w:tc>
      </w:tr>
    </w:tbl>
    <w:p w:rsidR="00C263B8" w:rsidRDefault="00C263B8">
      <w:pPr>
        <w:spacing w:before="0" w:after="0" w:line="480" w:lineRule="auto"/>
        <w:ind w:firstLine="0"/>
        <w:rPr>
          <w:rFonts w:ascii="Times New Roman" w:eastAsia="Times New Roman" w:hAnsi="Times New Roman" w:cs="Times New Roman"/>
          <w:sz w:val="24"/>
          <w:szCs w:val="24"/>
        </w:rPr>
      </w:pPr>
    </w:p>
    <w:p w:rsidR="00BE0BB9" w:rsidRDefault="00C0441B" w:rsidP="00BE0BB9">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premise that careers are a sequence of job positions over time (</w:t>
      </w:r>
      <w:proofErr w:type="spellStart"/>
      <w:r>
        <w:rPr>
          <w:rFonts w:ascii="Times New Roman" w:eastAsia="Times New Roman" w:hAnsi="Times New Roman" w:cs="Times New Roman"/>
          <w:sz w:val="24"/>
          <w:szCs w:val="24"/>
        </w:rPr>
        <w:t>Spilerman</w:t>
      </w:r>
      <w:proofErr w:type="spellEnd"/>
      <w:r>
        <w:rPr>
          <w:rFonts w:ascii="Times New Roman" w:eastAsia="Times New Roman" w:hAnsi="Times New Roman" w:cs="Times New Roman"/>
          <w:sz w:val="24"/>
          <w:szCs w:val="24"/>
        </w:rPr>
        <w:t xml:space="preserve">, 1977), recently one strand in the literature has applied longitudinal data techniques to compare career sequences to map patterns. </w:t>
      </w:r>
      <w:r w:rsidR="00BE0BB9">
        <w:rPr>
          <w:rFonts w:ascii="Times New Roman" w:eastAsia="Times New Roman" w:hAnsi="Times New Roman" w:cs="Times New Roman"/>
          <w:sz w:val="24"/>
          <w:szCs w:val="24"/>
        </w:rPr>
        <w:t>After some previous results (not shown, but available under request), we observed only marginal differences between trajectories of men and women, academic or non-academic professionals, regulators or public servants in general and private sector workers or consultants.</w:t>
      </w:r>
      <w:r w:rsidR="00BE0BB9">
        <w:rPr>
          <w:rFonts w:ascii="Times New Roman" w:eastAsia="Times New Roman" w:hAnsi="Times New Roman" w:cs="Times New Roman"/>
          <w:sz w:val="24"/>
          <w:szCs w:val="24"/>
        </w:rPr>
        <w:t xml:space="preserve"> Thus, only two of seven possible dimensions </w:t>
      </w:r>
      <w:proofErr w:type="gramStart"/>
      <w:r w:rsidR="00BE0BB9">
        <w:rPr>
          <w:rFonts w:ascii="Times New Roman" w:eastAsia="Times New Roman" w:hAnsi="Times New Roman" w:cs="Times New Roman"/>
          <w:sz w:val="24"/>
          <w:szCs w:val="24"/>
        </w:rPr>
        <w:t>are taken</w:t>
      </w:r>
      <w:proofErr w:type="gramEnd"/>
      <w:r w:rsidR="00BE0BB9">
        <w:rPr>
          <w:rFonts w:ascii="Times New Roman" w:eastAsia="Times New Roman" w:hAnsi="Times New Roman" w:cs="Times New Roman"/>
          <w:sz w:val="24"/>
          <w:szCs w:val="24"/>
        </w:rPr>
        <w:t xml:space="preserve"> into consideration: </w:t>
      </w:r>
      <w:r w:rsidR="00BE0BB9">
        <w:rPr>
          <w:rFonts w:ascii="Times New Roman" w:eastAsia="Times New Roman" w:hAnsi="Times New Roman" w:cs="Times New Roman"/>
          <w:sz w:val="24"/>
          <w:szCs w:val="24"/>
        </w:rPr>
        <w:t>politically affiliated vs. non-affiliated</w:t>
      </w:r>
      <w:r w:rsidR="00BE0BB9">
        <w:rPr>
          <w:rFonts w:ascii="Times New Roman" w:eastAsia="Times New Roman" w:hAnsi="Times New Roman" w:cs="Times New Roman"/>
          <w:sz w:val="24"/>
          <w:szCs w:val="24"/>
        </w:rPr>
        <w:t xml:space="preserve"> and public vs. private sector.</w:t>
      </w:r>
    </w:p>
    <w:p w:rsidR="00BE0BB9" w:rsidRDefault="00BE0BB9" w:rsidP="00D2754C">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2754C">
        <w:rPr>
          <w:rFonts w:ascii="Times New Roman" w:eastAsia="Times New Roman" w:hAnsi="Times New Roman" w:cs="Times New Roman"/>
          <w:sz w:val="24"/>
          <w:szCs w:val="24"/>
        </w:rPr>
        <w:t xml:space="preserve">ur empirical strategy </w:t>
      </w:r>
      <w:r w:rsidR="00016091">
        <w:rPr>
          <w:rFonts w:ascii="Times New Roman" w:eastAsia="Times New Roman" w:hAnsi="Times New Roman" w:cs="Times New Roman"/>
          <w:sz w:val="24"/>
          <w:szCs w:val="24"/>
        </w:rPr>
        <w:t xml:space="preserve">follows </w:t>
      </w:r>
      <w:r>
        <w:rPr>
          <w:rFonts w:ascii="Times New Roman" w:eastAsia="Times New Roman" w:hAnsi="Times New Roman" w:cs="Times New Roman"/>
          <w:sz w:val="24"/>
          <w:szCs w:val="24"/>
        </w:rPr>
        <w:t>three</w:t>
      </w:r>
      <w:r w:rsidR="00016091">
        <w:rPr>
          <w:rFonts w:ascii="Times New Roman" w:eastAsia="Times New Roman" w:hAnsi="Times New Roman" w:cs="Times New Roman"/>
          <w:sz w:val="24"/>
          <w:szCs w:val="24"/>
        </w:rPr>
        <w:t xml:space="preserve"> paths</w:t>
      </w:r>
      <w:r w:rsidR="00D2754C">
        <w:rPr>
          <w:rFonts w:ascii="Times New Roman" w:eastAsia="Times New Roman" w:hAnsi="Times New Roman" w:cs="Times New Roman"/>
          <w:sz w:val="24"/>
          <w:szCs w:val="24"/>
        </w:rPr>
        <w:t>. First, w</w:t>
      </w:r>
      <w:r w:rsidR="00C0441B">
        <w:rPr>
          <w:rFonts w:ascii="Times New Roman" w:eastAsia="Times New Roman" w:hAnsi="Times New Roman" w:cs="Times New Roman"/>
          <w:sz w:val="24"/>
          <w:szCs w:val="24"/>
        </w:rPr>
        <w:t xml:space="preserve">e analyzed the data using </w:t>
      </w:r>
      <w:r>
        <w:rPr>
          <w:rFonts w:ascii="Times New Roman" w:eastAsia="Times New Roman" w:hAnsi="Times New Roman" w:cs="Times New Roman"/>
          <w:sz w:val="24"/>
          <w:szCs w:val="24"/>
        </w:rPr>
        <w:t xml:space="preserve">standard statistical techniques, such as descriptive statistics, contingency tables, mosaic plots and chi-squared tests. </w:t>
      </w:r>
    </w:p>
    <w:p w:rsidR="00016091" w:rsidRDefault="00BE0BB9" w:rsidP="00BE0BB9">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we employ </w:t>
      </w:r>
      <w:r w:rsidR="00C0441B">
        <w:rPr>
          <w:rFonts w:ascii="Times New Roman" w:eastAsia="Times New Roman" w:hAnsi="Times New Roman" w:cs="Times New Roman"/>
          <w:sz w:val="24"/>
          <w:szCs w:val="24"/>
        </w:rPr>
        <w:t>Optimal Matching Analysis</w:t>
      </w:r>
      <w:r w:rsidR="00C0441B">
        <w:rPr>
          <w:rFonts w:ascii="Times New Roman" w:eastAsia="Times New Roman" w:hAnsi="Times New Roman" w:cs="Times New Roman"/>
          <w:i/>
          <w:sz w:val="24"/>
          <w:szCs w:val="24"/>
        </w:rPr>
        <w:t xml:space="preserve"> </w:t>
      </w:r>
      <w:r w:rsidR="00C0441B">
        <w:rPr>
          <w:rFonts w:ascii="Times New Roman" w:eastAsia="Times New Roman" w:hAnsi="Times New Roman" w:cs="Times New Roman"/>
          <w:sz w:val="24"/>
          <w:szCs w:val="24"/>
        </w:rPr>
        <w:t xml:space="preserve">(OMA), introduced in career analysis by Abbott and </w:t>
      </w:r>
      <w:proofErr w:type="spellStart"/>
      <w:r w:rsidR="00C0441B">
        <w:rPr>
          <w:rFonts w:ascii="Times New Roman" w:eastAsia="Times New Roman" w:hAnsi="Times New Roman" w:cs="Times New Roman"/>
          <w:sz w:val="24"/>
          <w:szCs w:val="24"/>
        </w:rPr>
        <w:t>Hrycak</w:t>
      </w:r>
      <w:proofErr w:type="spellEnd"/>
      <w:r w:rsidR="00C0441B">
        <w:rPr>
          <w:rFonts w:ascii="Times New Roman" w:eastAsia="Times New Roman" w:hAnsi="Times New Roman" w:cs="Times New Roman"/>
          <w:sz w:val="24"/>
          <w:szCs w:val="24"/>
        </w:rPr>
        <w:t xml:space="preserve"> (1990) and revised by Abbott and </w:t>
      </w:r>
      <w:proofErr w:type="spellStart"/>
      <w:r w:rsidR="00C0441B">
        <w:rPr>
          <w:rFonts w:ascii="Times New Roman" w:eastAsia="Times New Roman" w:hAnsi="Times New Roman" w:cs="Times New Roman"/>
          <w:sz w:val="24"/>
          <w:szCs w:val="24"/>
        </w:rPr>
        <w:t>Tsay</w:t>
      </w:r>
      <w:proofErr w:type="spellEnd"/>
      <w:r w:rsidR="00C0441B">
        <w:rPr>
          <w:rFonts w:ascii="Times New Roman" w:eastAsia="Times New Roman" w:hAnsi="Times New Roman" w:cs="Times New Roman"/>
          <w:sz w:val="24"/>
          <w:szCs w:val="24"/>
        </w:rPr>
        <w:t xml:space="preserve"> (2000), </w:t>
      </w:r>
      <w:proofErr w:type="spellStart"/>
      <w:r w:rsidR="00C0441B">
        <w:rPr>
          <w:rFonts w:ascii="Times New Roman" w:eastAsia="Times New Roman" w:hAnsi="Times New Roman" w:cs="Times New Roman"/>
          <w:sz w:val="24"/>
          <w:szCs w:val="24"/>
        </w:rPr>
        <w:t>Aisenbrey</w:t>
      </w:r>
      <w:proofErr w:type="spellEnd"/>
      <w:r w:rsidR="00C0441B">
        <w:rPr>
          <w:rFonts w:ascii="Times New Roman" w:eastAsia="Times New Roman" w:hAnsi="Times New Roman" w:cs="Times New Roman"/>
          <w:sz w:val="24"/>
          <w:szCs w:val="24"/>
        </w:rPr>
        <w:t xml:space="preserve"> and </w:t>
      </w:r>
      <w:proofErr w:type="spellStart"/>
      <w:r w:rsidR="00C0441B">
        <w:rPr>
          <w:rFonts w:ascii="Times New Roman" w:eastAsia="Times New Roman" w:hAnsi="Times New Roman" w:cs="Times New Roman"/>
          <w:sz w:val="24"/>
          <w:szCs w:val="24"/>
        </w:rPr>
        <w:t>Fasang</w:t>
      </w:r>
      <w:proofErr w:type="spellEnd"/>
      <w:r w:rsidR="00C0441B">
        <w:rPr>
          <w:rFonts w:ascii="Times New Roman" w:eastAsia="Times New Roman" w:hAnsi="Times New Roman" w:cs="Times New Roman"/>
          <w:sz w:val="24"/>
          <w:szCs w:val="24"/>
        </w:rPr>
        <w:t xml:space="preserve"> (2010), and </w:t>
      </w:r>
      <w:proofErr w:type="spellStart"/>
      <w:r w:rsidR="00C0441B">
        <w:rPr>
          <w:rFonts w:ascii="Times New Roman" w:eastAsia="Times New Roman" w:hAnsi="Times New Roman" w:cs="Times New Roman"/>
          <w:sz w:val="24"/>
          <w:szCs w:val="24"/>
        </w:rPr>
        <w:t>Dlouhy</w:t>
      </w:r>
      <w:proofErr w:type="spellEnd"/>
      <w:r w:rsidR="00C0441B">
        <w:rPr>
          <w:rFonts w:ascii="Times New Roman" w:eastAsia="Times New Roman" w:hAnsi="Times New Roman" w:cs="Times New Roman"/>
          <w:sz w:val="24"/>
          <w:szCs w:val="24"/>
        </w:rPr>
        <w:t xml:space="preserve"> and </w:t>
      </w:r>
      <w:proofErr w:type="spellStart"/>
      <w:r w:rsidR="00C0441B">
        <w:rPr>
          <w:rFonts w:ascii="Times New Roman" w:eastAsia="Times New Roman" w:hAnsi="Times New Roman" w:cs="Times New Roman"/>
          <w:sz w:val="24"/>
          <w:szCs w:val="24"/>
        </w:rPr>
        <w:t>Biemann</w:t>
      </w:r>
      <w:proofErr w:type="spellEnd"/>
      <w:r w:rsidR="00C0441B">
        <w:rPr>
          <w:rFonts w:ascii="Times New Roman" w:eastAsia="Times New Roman" w:hAnsi="Times New Roman" w:cs="Times New Roman"/>
          <w:sz w:val="24"/>
          <w:szCs w:val="24"/>
        </w:rPr>
        <w:t xml:space="preserve"> (2015). </w:t>
      </w:r>
      <w:r w:rsidR="0001609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main advantage </w:t>
      </w:r>
      <w:r w:rsidR="00016091">
        <w:rPr>
          <w:rFonts w:ascii="Times New Roman" w:eastAsia="Times New Roman" w:hAnsi="Times New Roman" w:cs="Times New Roman"/>
          <w:sz w:val="24"/>
          <w:szCs w:val="24"/>
        </w:rPr>
        <w:t xml:space="preserve">of applying OMA to our research problem is to deal with </w:t>
      </w:r>
      <w:r w:rsidR="0003111A">
        <w:rPr>
          <w:rFonts w:ascii="Times New Roman" w:eastAsia="Times New Roman" w:hAnsi="Times New Roman" w:cs="Times New Roman"/>
          <w:sz w:val="24"/>
          <w:szCs w:val="24"/>
        </w:rPr>
        <w:t>career strings without necessarily imposing restrictions regardin</w:t>
      </w:r>
      <w:r w:rsidR="006650A1">
        <w:rPr>
          <w:rFonts w:ascii="Times New Roman" w:eastAsia="Times New Roman" w:hAnsi="Times New Roman" w:cs="Times New Roman"/>
          <w:sz w:val="24"/>
          <w:szCs w:val="24"/>
        </w:rPr>
        <w:t>g the grouping of these strings in common paths.</w:t>
      </w:r>
      <w:r w:rsidR="0003111A">
        <w:rPr>
          <w:rFonts w:ascii="Times New Roman" w:eastAsia="Times New Roman" w:hAnsi="Times New Roman" w:cs="Times New Roman"/>
          <w:sz w:val="24"/>
          <w:szCs w:val="24"/>
        </w:rPr>
        <w:t xml:space="preserve"> One must notice that </w:t>
      </w:r>
      <w:r w:rsidR="006650A1">
        <w:rPr>
          <w:rFonts w:ascii="Times New Roman" w:eastAsia="Times New Roman" w:hAnsi="Times New Roman" w:cs="Times New Roman"/>
          <w:sz w:val="24"/>
          <w:szCs w:val="24"/>
        </w:rPr>
        <w:t xml:space="preserve">in spite of </w:t>
      </w:r>
      <w:r w:rsidR="0003111A">
        <w:rPr>
          <w:rFonts w:ascii="Times New Roman" w:eastAsia="Times New Roman" w:hAnsi="Times New Roman" w:cs="Times New Roman"/>
          <w:sz w:val="24"/>
          <w:szCs w:val="24"/>
        </w:rPr>
        <w:t>only two dimensions</w:t>
      </w:r>
      <w:r>
        <w:rPr>
          <w:rFonts w:ascii="Times New Roman" w:eastAsia="Times New Roman" w:hAnsi="Times New Roman" w:cs="Times New Roman"/>
          <w:sz w:val="24"/>
          <w:szCs w:val="24"/>
        </w:rPr>
        <w:t xml:space="preserve"> for each state</w:t>
      </w:r>
      <w:r w:rsidR="0003111A">
        <w:rPr>
          <w:rFonts w:ascii="Times New Roman" w:eastAsia="Times New Roman" w:hAnsi="Times New Roman" w:cs="Times New Roman"/>
          <w:sz w:val="24"/>
          <w:szCs w:val="24"/>
        </w:rPr>
        <w:t xml:space="preserve">, there are four possible states for each year, thus </w:t>
      </w:r>
      <w:r w:rsidR="006650A1">
        <w:rPr>
          <w:rFonts w:ascii="Times New Roman" w:eastAsia="Times New Roman" w:hAnsi="Times New Roman" w:cs="Times New Roman"/>
          <w:sz w:val="24"/>
          <w:szCs w:val="24"/>
        </w:rPr>
        <w:t xml:space="preserve">in theory </w:t>
      </w:r>
      <w:r w:rsidR="0003111A">
        <w:rPr>
          <w:rFonts w:ascii="Times New Roman" w:eastAsia="Times New Roman" w:hAnsi="Times New Roman" w:cs="Times New Roman"/>
          <w:sz w:val="24"/>
          <w:szCs w:val="24"/>
        </w:rPr>
        <w:t>there are 1,048,576 (4</w:t>
      </w:r>
      <w:r w:rsidR="0003111A">
        <w:rPr>
          <w:rFonts w:ascii="Times New Roman" w:eastAsia="Times New Roman" w:hAnsi="Times New Roman" w:cs="Times New Roman"/>
          <w:sz w:val="24"/>
          <w:szCs w:val="24"/>
          <w:vertAlign w:val="superscript"/>
        </w:rPr>
        <w:t>10</w:t>
      </w:r>
      <w:r w:rsidR="0003111A">
        <w:rPr>
          <w:rFonts w:ascii="Times New Roman" w:eastAsia="Times New Roman" w:hAnsi="Times New Roman" w:cs="Times New Roman"/>
          <w:sz w:val="24"/>
          <w:szCs w:val="24"/>
        </w:rPr>
        <w:t>) possible strings.</w:t>
      </w:r>
      <w:r w:rsidR="00016091">
        <w:rPr>
          <w:rFonts w:ascii="Times New Roman" w:eastAsia="Times New Roman" w:hAnsi="Times New Roman" w:cs="Times New Roman"/>
          <w:sz w:val="24"/>
          <w:szCs w:val="24"/>
        </w:rPr>
        <w:t xml:space="preserve"> </w:t>
      </w:r>
    </w:p>
    <w:p w:rsidR="00F24E42" w:rsidRDefault="00F24E42" w:rsidP="00F24E42">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Briefly, first OMA defines the distance between sequences as the number of changes needed to transform one string of sequence into another. The lower this "cost," the more </w:t>
      </w:r>
      <w:r>
        <w:rPr>
          <w:rFonts w:ascii="Times New Roman" w:eastAsia="Times New Roman" w:hAnsi="Times New Roman" w:cs="Times New Roman"/>
          <w:sz w:val="24"/>
          <w:szCs w:val="24"/>
        </w:rPr>
        <w:lastRenderedPageBreak/>
        <w:t xml:space="preserve">similar these sequences are. Second, the operations allowed </w:t>
      </w:r>
      <w:proofErr w:type="gramStart"/>
      <w:r>
        <w:rPr>
          <w:rFonts w:ascii="Times New Roman" w:eastAsia="Times New Roman" w:hAnsi="Times New Roman" w:cs="Times New Roman"/>
          <w:sz w:val="24"/>
          <w:szCs w:val="24"/>
        </w:rPr>
        <w:t>to transform</w:t>
      </w:r>
      <w:proofErr w:type="gramEnd"/>
      <w:r>
        <w:rPr>
          <w:rFonts w:ascii="Times New Roman" w:eastAsia="Times New Roman" w:hAnsi="Times New Roman" w:cs="Times New Roman"/>
          <w:sz w:val="24"/>
          <w:szCs w:val="24"/>
        </w:rPr>
        <w:t xml:space="preserve"> one sequence into another are the substitution, insertion, and elimination (</w:t>
      </w:r>
      <w:proofErr w:type="spellStart"/>
      <w:r>
        <w:rPr>
          <w:rFonts w:ascii="Times New Roman" w:eastAsia="Times New Roman" w:hAnsi="Times New Roman" w:cs="Times New Roman"/>
          <w:sz w:val="24"/>
          <w:szCs w:val="24"/>
        </w:rPr>
        <w:t>indel</w:t>
      </w:r>
      <w:proofErr w:type="spellEnd"/>
      <w:r>
        <w:rPr>
          <w:rFonts w:ascii="Times New Roman" w:eastAsia="Times New Roman" w:hAnsi="Times New Roman" w:cs="Times New Roman"/>
          <w:sz w:val="24"/>
          <w:szCs w:val="24"/>
        </w:rPr>
        <w:t xml:space="preserve"> operations) of a given state. The output of the comparison between the strings is a symmetric matrix that displays the distance from one sequence to all others. Finally, this matrix </w:t>
      </w:r>
      <w:proofErr w:type="gramStart"/>
      <w:r>
        <w:rPr>
          <w:rFonts w:ascii="Times New Roman" w:eastAsia="Times New Roman" w:hAnsi="Times New Roman" w:cs="Times New Roman"/>
          <w:sz w:val="24"/>
          <w:szCs w:val="24"/>
        </w:rPr>
        <w:t>is used</w:t>
      </w:r>
      <w:proofErr w:type="gramEnd"/>
      <w:r>
        <w:rPr>
          <w:rFonts w:ascii="Times New Roman" w:eastAsia="Times New Roman" w:hAnsi="Times New Roman" w:cs="Times New Roman"/>
          <w:sz w:val="24"/>
          <w:szCs w:val="24"/>
        </w:rPr>
        <w:t xml:space="preserve"> to cluster sequences that are more or less similar, even though they are not </w:t>
      </w:r>
      <w:r w:rsidR="00BE0BB9">
        <w:rPr>
          <w:rFonts w:ascii="Times New Roman" w:eastAsia="Times New Roman" w:hAnsi="Times New Roman" w:cs="Times New Roman"/>
          <w:sz w:val="24"/>
          <w:szCs w:val="24"/>
        </w:rPr>
        <w:t>exactly</w:t>
      </w:r>
      <w:r>
        <w:rPr>
          <w:rFonts w:ascii="Times New Roman" w:eastAsia="Times New Roman" w:hAnsi="Times New Roman" w:cs="Times New Roman"/>
          <w:sz w:val="24"/>
          <w:szCs w:val="24"/>
        </w:rPr>
        <w:t xml:space="preserve"> the same.</w:t>
      </w:r>
    </w:p>
    <w:p w:rsidR="00F24E42" w:rsidRDefault="006650A1" w:rsidP="00D2754C">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016091">
        <w:rPr>
          <w:rFonts w:ascii="Times New Roman" w:eastAsia="Times New Roman" w:hAnsi="Times New Roman" w:cs="Times New Roman"/>
          <w:sz w:val="24"/>
          <w:szCs w:val="24"/>
        </w:rPr>
        <w:t xml:space="preserve">, we tested </w:t>
      </w:r>
      <w:r w:rsidR="00F24E42">
        <w:rPr>
          <w:rFonts w:ascii="Times New Roman" w:eastAsia="Times New Roman" w:hAnsi="Times New Roman" w:cs="Times New Roman"/>
          <w:sz w:val="24"/>
          <w:szCs w:val="24"/>
        </w:rPr>
        <w:t xml:space="preserve">explicitly </w:t>
      </w:r>
      <w:r w:rsidR="00016091">
        <w:rPr>
          <w:rFonts w:ascii="Times New Roman" w:eastAsia="Times New Roman" w:hAnsi="Times New Roman" w:cs="Times New Roman"/>
          <w:sz w:val="24"/>
          <w:szCs w:val="24"/>
        </w:rPr>
        <w:t>through a binary choice model if political</w:t>
      </w:r>
      <w:r w:rsidR="00F24E42">
        <w:rPr>
          <w:rFonts w:ascii="Times New Roman" w:eastAsia="Times New Roman" w:hAnsi="Times New Roman" w:cs="Times New Roman"/>
          <w:sz w:val="24"/>
          <w:szCs w:val="24"/>
        </w:rPr>
        <w:t xml:space="preserve"> affiliation or previous experience in the public sector influences the probability of working for the private sector after a term in the regulatory board.</w:t>
      </w:r>
      <w:r w:rsidR="0003111A">
        <w:rPr>
          <w:rFonts w:ascii="Times New Roman" w:eastAsia="Times New Roman" w:hAnsi="Times New Roman" w:cs="Times New Roman"/>
          <w:sz w:val="24"/>
          <w:szCs w:val="24"/>
        </w:rPr>
        <w:t xml:space="preserve"> This simple two-dimension classification proved to be very useful to understand the changes from public to private sector or vice versa, and how political affiliation helps or hampers these transitions.</w:t>
      </w:r>
    </w:p>
    <w:p w:rsidR="00E269D0" w:rsidRDefault="00E269D0" w:rsidP="00823BA8">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color w:val="000000"/>
          <w:sz w:val="24"/>
          <w:szCs w:val="24"/>
        </w:rPr>
      </w:pPr>
    </w:p>
    <w:p w:rsidR="00823BA8" w:rsidRDefault="00823BA8" w:rsidP="00823BA8">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DESCRIPTIVE </w:t>
      </w:r>
      <w:r w:rsidR="00D64AF9">
        <w:rPr>
          <w:rFonts w:ascii="Times New Roman" w:eastAsia="Times New Roman" w:hAnsi="Times New Roman" w:cs="Times New Roman"/>
          <w:b/>
          <w:color w:val="000000"/>
          <w:sz w:val="24"/>
          <w:szCs w:val="24"/>
        </w:rPr>
        <w:t>ANALYSIS</w:t>
      </w:r>
      <w:r>
        <w:rPr>
          <w:rFonts w:ascii="Times New Roman" w:eastAsia="Times New Roman" w:hAnsi="Times New Roman" w:cs="Times New Roman"/>
          <w:b/>
          <w:color w:val="000000"/>
          <w:sz w:val="24"/>
          <w:szCs w:val="24"/>
        </w:rPr>
        <w:t xml:space="preserve"> OF STRINGS</w:t>
      </w:r>
    </w:p>
    <w:p w:rsidR="00E269D0" w:rsidRDefault="00E269D0" w:rsidP="00E269D0">
      <w:pPr>
        <w:spacing w:before="0" w:after="160" w:line="480" w:lineRule="auto"/>
        <w:ind w:firstLine="0"/>
        <w:rPr>
          <w:rFonts w:ascii="Times New Roman" w:eastAsia="Times New Roman" w:hAnsi="Times New Roman" w:cs="Times New Roman"/>
          <w:sz w:val="24"/>
          <w:szCs w:val="24"/>
        </w:rPr>
      </w:pPr>
    </w:p>
    <w:p w:rsidR="00E269D0" w:rsidRDefault="00E269D0" w:rsidP="00E269D0">
      <w:pPr>
        <w:spacing w:before="0" w:after="160" w:line="480"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spite of the high number or possibilities, there are only 27 strings. The reason for that is the low rate of transitions from one state to the other during the first or last five years of the sequence. When transitions </w:t>
      </w:r>
      <w:r w:rsidR="00E96CEC">
        <w:rPr>
          <w:rFonts w:ascii="Times New Roman" w:eastAsia="Times New Roman" w:hAnsi="Times New Roman" w:cs="Times New Roman"/>
          <w:sz w:val="24"/>
          <w:szCs w:val="24"/>
        </w:rPr>
        <w:t xml:space="preserve">take place, they tend to do before-and-after the term in the regulatory board. This stability </w:t>
      </w:r>
      <w:proofErr w:type="gramStart"/>
      <w:r w:rsidR="00E96CEC">
        <w:rPr>
          <w:rFonts w:ascii="Times New Roman" w:eastAsia="Times New Roman" w:hAnsi="Times New Roman" w:cs="Times New Roman"/>
          <w:sz w:val="24"/>
          <w:szCs w:val="24"/>
        </w:rPr>
        <w:t>may be observed</w:t>
      </w:r>
      <w:proofErr w:type="gramEnd"/>
      <w:r w:rsidR="00E96CEC">
        <w:rPr>
          <w:rFonts w:ascii="Times New Roman" w:eastAsia="Times New Roman" w:hAnsi="Times New Roman" w:cs="Times New Roman"/>
          <w:sz w:val="24"/>
          <w:szCs w:val="24"/>
        </w:rPr>
        <w:t xml:space="preserve"> in the </w:t>
      </w:r>
      <w:proofErr w:type="spellStart"/>
      <w:r w:rsidR="00E96CEC">
        <w:rPr>
          <w:rFonts w:ascii="Times New Roman" w:eastAsia="Times New Roman" w:hAnsi="Times New Roman" w:cs="Times New Roman"/>
          <w:sz w:val="24"/>
          <w:szCs w:val="24"/>
        </w:rPr>
        <w:t>tempogram</w:t>
      </w:r>
      <w:proofErr w:type="spellEnd"/>
      <w:r w:rsidR="00E96CEC">
        <w:rPr>
          <w:rFonts w:ascii="Times New Roman" w:eastAsia="Times New Roman" w:hAnsi="Times New Roman" w:cs="Times New Roman"/>
          <w:sz w:val="24"/>
          <w:szCs w:val="24"/>
        </w:rPr>
        <w:t xml:space="preserve"> (Figure 1).</w:t>
      </w:r>
    </w:p>
    <w:p w:rsidR="00E96CEC" w:rsidRDefault="00E96CEC" w:rsidP="00E96CEC">
      <w:pPr>
        <w:tabs>
          <w:tab w:val="left" w:pos="2940"/>
          <w:tab w:val="center" w:pos="4612"/>
        </w:tabs>
        <w:spacing w:before="0" w:after="16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 xml:space="preserve">Figure 1. </w:t>
      </w:r>
      <w:proofErr w:type="spellStart"/>
      <w:r>
        <w:rPr>
          <w:rFonts w:ascii="Times New Roman" w:eastAsia="Times New Roman" w:hAnsi="Times New Roman" w:cs="Times New Roman"/>
          <w:sz w:val="20"/>
          <w:szCs w:val="20"/>
        </w:rPr>
        <w:t>Tempogram</w:t>
      </w:r>
      <w:proofErr w:type="spellEnd"/>
      <w:r>
        <w:rPr>
          <w:rFonts w:ascii="Times New Roman" w:eastAsia="Times New Roman" w:hAnsi="Times New Roman" w:cs="Times New Roman"/>
          <w:sz w:val="20"/>
          <w:szCs w:val="20"/>
        </w:rPr>
        <w:t xml:space="preserve"> of the sequences</w:t>
      </w:r>
      <w:r>
        <w:rPr>
          <w:noProof/>
          <w:lang w:val="pt-BR"/>
        </w:rPr>
        <w:drawing>
          <wp:inline distT="0" distB="0" distL="0" distR="0" wp14:anchorId="04BA562F" wp14:editId="752351C3">
            <wp:extent cx="5010028" cy="333569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943" cy="3345629"/>
                    </a:xfrm>
                    <a:prstGeom prst="rect">
                      <a:avLst/>
                    </a:prstGeom>
                  </pic:spPr>
                </pic:pic>
              </a:graphicData>
            </a:graphic>
          </wp:inline>
        </w:drawing>
      </w:r>
    </w:p>
    <w:p w:rsidR="00823BA8" w:rsidRPr="00823BA8" w:rsidRDefault="00E96CEC" w:rsidP="00E269D0">
      <w:pPr>
        <w:spacing w:before="0" w:after="160" w:line="480"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from the low number of observed sequences, ten most common ones correspond to 84.6% of occurrences, as displayed in Figure 2.</w:t>
      </w:r>
    </w:p>
    <w:p w:rsidR="00823BA8" w:rsidRDefault="00E96CEC" w:rsidP="00E96CEC">
      <w:pPr>
        <w:tabs>
          <w:tab w:val="left" w:pos="2940"/>
          <w:tab w:val="center" w:pos="4612"/>
        </w:tabs>
        <w:spacing w:before="0" w:after="160" w:line="480" w:lineRule="auto"/>
        <w:ind w:firstLine="7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823BA8">
        <w:rPr>
          <w:rFonts w:ascii="Times New Roman" w:eastAsia="Times New Roman" w:hAnsi="Times New Roman" w:cs="Times New Roman"/>
          <w:sz w:val="20"/>
          <w:szCs w:val="20"/>
        </w:rPr>
        <w:t>F</w:t>
      </w:r>
      <w:r>
        <w:rPr>
          <w:rFonts w:ascii="Times New Roman" w:eastAsia="Times New Roman" w:hAnsi="Times New Roman" w:cs="Times New Roman"/>
          <w:sz w:val="20"/>
          <w:szCs w:val="20"/>
        </w:rPr>
        <w:t>igure 2</w:t>
      </w:r>
      <w:r w:rsidR="00823BA8">
        <w:rPr>
          <w:rFonts w:ascii="Times New Roman" w:eastAsia="Times New Roman" w:hAnsi="Times New Roman" w:cs="Times New Roman"/>
          <w:sz w:val="20"/>
          <w:szCs w:val="20"/>
        </w:rPr>
        <w:t>. Ten most common sequences</w:t>
      </w:r>
    </w:p>
    <w:p w:rsidR="00823BA8" w:rsidRPr="00E96CEC" w:rsidRDefault="00E96CEC" w:rsidP="00E96CEC">
      <w:pPr>
        <w:spacing w:before="0" w:after="160" w:line="480" w:lineRule="auto"/>
        <w:ind w:firstLine="0"/>
        <w:jc w:val="center"/>
        <w:rPr>
          <w:rFonts w:ascii="Times New Roman" w:eastAsia="Times New Roman" w:hAnsi="Times New Roman" w:cs="Times New Roman"/>
          <w:sz w:val="24"/>
          <w:szCs w:val="24"/>
        </w:rPr>
      </w:pPr>
      <w:r>
        <w:rPr>
          <w:noProof/>
          <w:lang w:val="pt-BR"/>
        </w:rPr>
        <w:drawing>
          <wp:inline distT="0" distB="0" distL="0" distR="0" wp14:anchorId="53F417C6" wp14:editId="6A8531A8">
            <wp:extent cx="4324350" cy="2879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385" cy="2883189"/>
                    </a:xfrm>
                    <a:prstGeom prst="rect">
                      <a:avLst/>
                    </a:prstGeom>
                  </pic:spPr>
                </pic:pic>
              </a:graphicData>
            </a:graphic>
          </wp:inline>
        </w:drawing>
      </w:r>
    </w:p>
    <w:p w:rsidR="00823BA8" w:rsidRDefault="00E96CEC" w:rsidP="00823BA8">
      <w:pPr>
        <w:spacing w:before="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823BA8">
        <w:rPr>
          <w:rFonts w:ascii="Times New Roman" w:eastAsia="Times New Roman" w:hAnsi="Times New Roman" w:cs="Times New Roman"/>
          <w:sz w:val="24"/>
          <w:szCs w:val="24"/>
        </w:rPr>
        <w:t>he most frequent string illustrate public servants, without political affiliation, that move to the private sector or become consultants in the regulated area after term</w:t>
      </w:r>
      <w:r w:rsidR="00CC3288">
        <w:rPr>
          <w:rFonts w:ascii="Times New Roman" w:eastAsia="Times New Roman" w:hAnsi="Times New Roman" w:cs="Times New Roman"/>
          <w:sz w:val="24"/>
          <w:szCs w:val="24"/>
        </w:rPr>
        <w:t xml:space="preserve"> (25 </w:t>
      </w:r>
      <w:proofErr w:type="spellStart"/>
      <w:r w:rsidR="00CC3288">
        <w:rPr>
          <w:rFonts w:ascii="Times New Roman" w:eastAsia="Times New Roman" w:hAnsi="Times New Roman" w:cs="Times New Roman"/>
          <w:sz w:val="24"/>
          <w:szCs w:val="24"/>
        </w:rPr>
        <w:t>occurrencies</w:t>
      </w:r>
      <w:proofErr w:type="spellEnd"/>
      <w:r w:rsidR="00CC3288">
        <w:rPr>
          <w:rFonts w:ascii="Times New Roman" w:eastAsia="Times New Roman" w:hAnsi="Times New Roman" w:cs="Times New Roman"/>
          <w:sz w:val="24"/>
          <w:szCs w:val="24"/>
        </w:rPr>
        <w:t>)</w:t>
      </w:r>
      <w:r w:rsidR="00823BA8">
        <w:rPr>
          <w:rFonts w:ascii="Times New Roman" w:eastAsia="Times New Roman" w:hAnsi="Times New Roman" w:cs="Times New Roman"/>
          <w:sz w:val="24"/>
          <w:szCs w:val="24"/>
        </w:rPr>
        <w:t>. The second string shows public servants, without political affiliation, that remain in the public service after term</w:t>
      </w:r>
      <w:r w:rsidR="00CC3288">
        <w:rPr>
          <w:rFonts w:ascii="Times New Roman" w:eastAsia="Times New Roman" w:hAnsi="Times New Roman" w:cs="Times New Roman"/>
          <w:sz w:val="24"/>
          <w:szCs w:val="24"/>
        </w:rPr>
        <w:t xml:space="preserve"> (24)</w:t>
      </w:r>
      <w:r w:rsidR="00823BA8">
        <w:rPr>
          <w:rFonts w:ascii="Times New Roman" w:eastAsia="Times New Roman" w:hAnsi="Times New Roman" w:cs="Times New Roman"/>
          <w:sz w:val="24"/>
          <w:szCs w:val="24"/>
        </w:rPr>
        <w:t>. The third string represents public servants, with political affiliation, that remain in the public service after term</w:t>
      </w:r>
      <w:r w:rsidR="00CC3288">
        <w:rPr>
          <w:rFonts w:ascii="Times New Roman" w:eastAsia="Times New Roman" w:hAnsi="Times New Roman" w:cs="Times New Roman"/>
          <w:sz w:val="24"/>
          <w:szCs w:val="24"/>
        </w:rPr>
        <w:t xml:space="preserve"> (14)</w:t>
      </w:r>
      <w:r w:rsidR="00823BA8">
        <w:rPr>
          <w:rFonts w:ascii="Times New Roman" w:eastAsia="Times New Roman" w:hAnsi="Times New Roman" w:cs="Times New Roman"/>
          <w:sz w:val="24"/>
          <w:szCs w:val="24"/>
        </w:rPr>
        <w:t>. The fourth string, i.e., private employees, without political affiliation, tend to go back to the regulated private sector</w:t>
      </w:r>
      <w:r w:rsidR="00CC3288">
        <w:rPr>
          <w:rFonts w:ascii="Times New Roman" w:eastAsia="Times New Roman" w:hAnsi="Times New Roman" w:cs="Times New Roman"/>
          <w:sz w:val="24"/>
          <w:szCs w:val="24"/>
        </w:rPr>
        <w:t xml:space="preserve"> (12)</w:t>
      </w:r>
      <w:r w:rsidR="00823BA8">
        <w:rPr>
          <w:rFonts w:ascii="Times New Roman" w:eastAsia="Times New Roman" w:hAnsi="Times New Roman" w:cs="Times New Roman"/>
          <w:sz w:val="24"/>
          <w:szCs w:val="24"/>
        </w:rPr>
        <w:t xml:space="preserve">. The fifth sequence shows public servants, with political affiliation, that </w:t>
      </w:r>
      <w:proofErr w:type="gramStart"/>
      <w:r w:rsidR="00823BA8">
        <w:rPr>
          <w:rFonts w:ascii="Times New Roman" w:eastAsia="Times New Roman" w:hAnsi="Times New Roman" w:cs="Times New Roman"/>
          <w:sz w:val="24"/>
          <w:szCs w:val="24"/>
        </w:rPr>
        <w:t>are hired</w:t>
      </w:r>
      <w:proofErr w:type="gramEnd"/>
      <w:r w:rsidR="00823BA8">
        <w:rPr>
          <w:rFonts w:ascii="Times New Roman" w:eastAsia="Times New Roman" w:hAnsi="Times New Roman" w:cs="Times New Roman"/>
          <w:sz w:val="24"/>
          <w:szCs w:val="24"/>
        </w:rPr>
        <w:t xml:space="preserve"> by the private sector after term</w:t>
      </w:r>
      <w:r w:rsidR="00CC3288">
        <w:rPr>
          <w:rFonts w:ascii="Times New Roman" w:eastAsia="Times New Roman" w:hAnsi="Times New Roman" w:cs="Times New Roman"/>
          <w:sz w:val="24"/>
          <w:szCs w:val="24"/>
        </w:rPr>
        <w:t xml:space="preserve"> (10)</w:t>
      </w:r>
      <w:r w:rsidR="00823BA8">
        <w:rPr>
          <w:rFonts w:ascii="Times New Roman" w:eastAsia="Times New Roman" w:hAnsi="Times New Roman" w:cs="Times New Roman"/>
          <w:sz w:val="24"/>
          <w:szCs w:val="24"/>
        </w:rPr>
        <w:t>. Next, private employees, with political affiliation, remain in the regulated private sector</w:t>
      </w:r>
      <w:r w:rsidR="00CC3288">
        <w:rPr>
          <w:rFonts w:ascii="Times New Roman" w:eastAsia="Times New Roman" w:hAnsi="Times New Roman" w:cs="Times New Roman"/>
          <w:sz w:val="24"/>
          <w:szCs w:val="24"/>
        </w:rPr>
        <w:t xml:space="preserve"> (4)</w:t>
      </w:r>
      <w:r w:rsidR="00823BA8">
        <w:rPr>
          <w:rFonts w:ascii="Times New Roman" w:eastAsia="Times New Roman" w:hAnsi="Times New Roman" w:cs="Times New Roman"/>
          <w:sz w:val="24"/>
          <w:szCs w:val="24"/>
        </w:rPr>
        <w:t xml:space="preserve">. From this simple analysis, one may infer that politicians do not change </w:t>
      </w:r>
      <w:r w:rsidR="00CC3288">
        <w:rPr>
          <w:rFonts w:ascii="Times New Roman" w:eastAsia="Times New Roman" w:hAnsi="Times New Roman" w:cs="Times New Roman"/>
          <w:sz w:val="24"/>
          <w:szCs w:val="24"/>
        </w:rPr>
        <w:t>their positions</w:t>
      </w:r>
      <w:r w:rsidR="00823BA8">
        <w:rPr>
          <w:rFonts w:ascii="Times New Roman" w:eastAsia="Times New Roman" w:hAnsi="Times New Roman" w:cs="Times New Roman"/>
          <w:sz w:val="24"/>
          <w:szCs w:val="24"/>
        </w:rPr>
        <w:t xml:space="preserve">, i.e., being a politician is not a post-term gain. Neither it precludes of being appointed, nor </w:t>
      </w:r>
      <w:proofErr w:type="gramStart"/>
      <w:r w:rsidR="00823BA8">
        <w:rPr>
          <w:rFonts w:ascii="Times New Roman" w:eastAsia="Times New Roman" w:hAnsi="Times New Roman" w:cs="Times New Roman"/>
          <w:sz w:val="24"/>
          <w:szCs w:val="24"/>
        </w:rPr>
        <w:t>it guarantees</w:t>
      </w:r>
      <w:proofErr w:type="gramEnd"/>
      <w:r w:rsidR="00823BA8">
        <w:rPr>
          <w:rFonts w:ascii="Times New Roman" w:eastAsia="Times New Roman" w:hAnsi="Times New Roman" w:cs="Times New Roman"/>
          <w:sz w:val="24"/>
          <w:szCs w:val="24"/>
        </w:rPr>
        <w:t xml:space="preserve"> any position post-term. </w:t>
      </w:r>
      <w:r w:rsidR="00CC3288">
        <w:rPr>
          <w:rFonts w:ascii="Times New Roman" w:eastAsia="Times New Roman" w:hAnsi="Times New Roman" w:cs="Times New Roman"/>
          <w:sz w:val="24"/>
          <w:szCs w:val="24"/>
        </w:rPr>
        <w:t>Indeed, m</w:t>
      </w:r>
      <w:r w:rsidR="00823BA8">
        <w:rPr>
          <w:rFonts w:ascii="Times New Roman" w:eastAsia="Times New Roman" w:hAnsi="Times New Roman" w:cs="Times New Roman"/>
          <w:sz w:val="24"/>
          <w:szCs w:val="24"/>
        </w:rPr>
        <w:t>ost of private sector workers in the after-term come from the public sector, but they are not politically affiliated.</w:t>
      </w:r>
    </w:p>
    <w:p w:rsidR="00823BA8" w:rsidRDefault="00BC10CA" w:rsidP="00F24E42">
      <w:pPr>
        <w:tabs>
          <w:tab w:val="left" w:pos="730"/>
          <w:tab w:val="center" w:pos="4252"/>
        </w:tabs>
        <w:spacing w:before="0" w:after="160" w:line="48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 chi-squared test</w:t>
      </w:r>
      <w:r w:rsidR="00D64AF9">
        <w:rPr>
          <w:rFonts w:ascii="Times New Roman" w:eastAsia="Times New Roman" w:hAnsi="Times New Roman" w:cs="Times New Roman"/>
          <w:sz w:val="24"/>
          <w:szCs w:val="24"/>
        </w:rPr>
        <w:t>, a contingency table</w:t>
      </w:r>
      <w:r>
        <w:rPr>
          <w:rFonts w:ascii="Times New Roman" w:eastAsia="Times New Roman" w:hAnsi="Times New Roman" w:cs="Times New Roman"/>
          <w:sz w:val="24"/>
          <w:szCs w:val="24"/>
        </w:rPr>
        <w:t xml:space="preserve"> and a mosaic plot may reveal whether there is some trajectory bias</w:t>
      </w:r>
      <w:r w:rsidR="00D64AF9">
        <w:rPr>
          <w:rFonts w:ascii="Times New Roman" w:eastAsia="Times New Roman" w:hAnsi="Times New Roman" w:cs="Times New Roman"/>
          <w:sz w:val="24"/>
          <w:szCs w:val="24"/>
        </w:rPr>
        <w:t xml:space="preserve"> related to IRAs. Indeed, the overall chi-squared test rejects the null hypothesis of no bias towards any IRA, at less than 0.001% of significance. A contingency table and a mosaic plot point out the sources of these biases, through the difference between observed (first line of each cell), expected (second line) and their respective standardized residuals (third line). Standardized residuals </w:t>
      </w:r>
      <w:proofErr w:type="gramStart"/>
      <w:r w:rsidR="00D64AF9">
        <w:rPr>
          <w:rFonts w:ascii="Times New Roman" w:eastAsia="Times New Roman" w:hAnsi="Times New Roman" w:cs="Times New Roman"/>
          <w:sz w:val="24"/>
          <w:szCs w:val="24"/>
        </w:rPr>
        <w:t>may be interpreted</w:t>
      </w:r>
      <w:proofErr w:type="gramEnd"/>
      <w:r w:rsidR="00D64AF9">
        <w:rPr>
          <w:rFonts w:ascii="Times New Roman" w:eastAsia="Times New Roman" w:hAnsi="Times New Roman" w:cs="Times New Roman"/>
          <w:sz w:val="24"/>
          <w:szCs w:val="24"/>
        </w:rPr>
        <w:t xml:space="preserve"> as ordinary t-statistic observed values.</w:t>
      </w:r>
    </w:p>
    <w:p w:rsidR="00D64AF9" w:rsidRDefault="00D64AF9" w:rsidP="00F24E42">
      <w:pPr>
        <w:tabs>
          <w:tab w:val="left" w:pos="730"/>
          <w:tab w:val="center" w:pos="4252"/>
        </w:tabs>
        <w:spacing w:before="0" w:after="160" w:line="48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Hence, </w:t>
      </w:r>
      <w:r w:rsidR="006F1CAF">
        <w:rPr>
          <w:rFonts w:ascii="Times New Roman" w:eastAsia="Times New Roman" w:hAnsi="Times New Roman" w:cs="Times New Roman"/>
          <w:sz w:val="24"/>
          <w:szCs w:val="24"/>
        </w:rPr>
        <w:t>according to</w:t>
      </w:r>
      <w:r w:rsidR="00A320A1">
        <w:rPr>
          <w:rFonts w:ascii="Times New Roman" w:eastAsia="Times New Roman" w:hAnsi="Times New Roman" w:cs="Times New Roman"/>
          <w:sz w:val="24"/>
          <w:szCs w:val="24"/>
        </w:rPr>
        <w:t xml:space="preserve"> traditional </w:t>
      </w:r>
      <w:r w:rsidR="006F1CAF">
        <w:rPr>
          <w:rFonts w:ascii="Times New Roman" w:eastAsia="Times New Roman" w:hAnsi="Times New Roman" w:cs="Times New Roman"/>
          <w:sz w:val="24"/>
          <w:szCs w:val="24"/>
        </w:rPr>
        <w:t>confidence levels (10%, 5% and 1% for rejection of the null hypothesis)</w:t>
      </w:r>
      <w:proofErr w:type="gramStart"/>
      <w:r w:rsidR="006F1CAF">
        <w:rPr>
          <w:rFonts w:ascii="Times New Roman" w:eastAsia="Times New Roman" w:hAnsi="Times New Roman" w:cs="Times New Roman"/>
          <w:sz w:val="24"/>
          <w:szCs w:val="24"/>
        </w:rPr>
        <w:t>,</w:t>
      </w:r>
      <w:proofErr w:type="gramEnd"/>
      <w:r w:rsidR="006F1CAF">
        <w:rPr>
          <w:rFonts w:ascii="Times New Roman" w:eastAsia="Times New Roman" w:hAnsi="Times New Roman" w:cs="Times New Roman"/>
          <w:sz w:val="24"/>
          <w:szCs w:val="24"/>
        </w:rPr>
        <w:t xml:space="preserve"> only two cells show significant differences betwee</w:t>
      </w:r>
      <w:r w:rsidR="00B26114">
        <w:rPr>
          <w:rFonts w:ascii="Times New Roman" w:eastAsia="Times New Roman" w:hAnsi="Times New Roman" w:cs="Times New Roman"/>
          <w:sz w:val="24"/>
          <w:szCs w:val="24"/>
        </w:rPr>
        <w:t>n observed and expected values.</w:t>
      </w:r>
      <w:r w:rsidR="006F1CAF">
        <w:rPr>
          <w:rFonts w:ascii="Times New Roman" w:eastAsia="Times New Roman" w:hAnsi="Times New Roman" w:cs="Times New Roman"/>
          <w:sz w:val="24"/>
          <w:szCs w:val="24"/>
        </w:rPr>
        <w:t xml:space="preserve"> ANAC (the aviation agency) has a larger-than-expected proportion </w:t>
      </w:r>
      <w:r w:rsidR="006F1CAF">
        <w:rPr>
          <w:rFonts w:ascii="Times New Roman" w:eastAsia="Times New Roman" w:hAnsi="Times New Roman" w:cs="Times New Roman"/>
          <w:sz w:val="24"/>
          <w:szCs w:val="24"/>
        </w:rPr>
        <w:lastRenderedPageBreak/>
        <w:t>of regulators coming from the private sector</w:t>
      </w:r>
      <w:r w:rsidR="00B26114">
        <w:rPr>
          <w:rFonts w:ascii="Times New Roman" w:eastAsia="Times New Roman" w:hAnsi="Times New Roman" w:cs="Times New Roman"/>
          <w:sz w:val="24"/>
          <w:szCs w:val="24"/>
        </w:rPr>
        <w:t xml:space="preserve"> (and eventually returning to private jobs)</w:t>
      </w:r>
      <w:r w:rsidR="006F1CAF">
        <w:rPr>
          <w:rFonts w:ascii="Times New Roman" w:eastAsia="Times New Roman" w:hAnsi="Times New Roman" w:cs="Times New Roman"/>
          <w:sz w:val="24"/>
          <w:szCs w:val="24"/>
        </w:rPr>
        <w:t xml:space="preserve">, and ANTAQ (the </w:t>
      </w:r>
      <w:r w:rsidR="00B26114">
        <w:rPr>
          <w:rFonts w:ascii="Times New Roman" w:eastAsia="Times New Roman" w:hAnsi="Times New Roman" w:cs="Times New Roman"/>
          <w:sz w:val="24"/>
          <w:szCs w:val="24"/>
        </w:rPr>
        <w:t>waterway transportation Agency) has the same for affiliated public servants, who return to the public service after their terms.</w:t>
      </w:r>
    </w:p>
    <w:p w:rsidR="00C0441B" w:rsidRDefault="00C0441B" w:rsidP="00C0441B">
      <w:pPr>
        <w:spacing w:before="0" w:after="0" w:line="480" w:lineRule="auto"/>
        <w:ind w:firstLine="0"/>
        <w:jc w:val="center"/>
        <w:rPr>
          <w:rFonts w:ascii="Times New Roman" w:eastAsia="Times New Roman" w:hAnsi="Times New Roman" w:cs="Times New Roman"/>
          <w:sz w:val="20"/>
          <w:szCs w:val="20"/>
        </w:rPr>
      </w:pPr>
      <w:r w:rsidRPr="00C0441B">
        <w:rPr>
          <w:rFonts w:ascii="Times New Roman" w:eastAsia="Times New Roman" w:hAnsi="Times New Roman" w:cs="Times New Roman"/>
          <w:sz w:val="20"/>
          <w:szCs w:val="20"/>
        </w:rPr>
        <w:t>Table 2.</w:t>
      </w:r>
      <w:r>
        <w:rPr>
          <w:rFonts w:ascii="Times New Roman" w:eastAsia="Times New Roman" w:hAnsi="Times New Roman" w:cs="Times New Roman"/>
          <w:sz w:val="20"/>
          <w:szCs w:val="20"/>
        </w:rPr>
        <w:t xml:space="preserve"> Types of trajectories per agency</w:t>
      </w:r>
    </w:p>
    <w:tbl>
      <w:tblPr>
        <w:tblW w:w="8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40"/>
        <w:gridCol w:w="1240"/>
        <w:gridCol w:w="1240"/>
        <w:gridCol w:w="1240"/>
        <w:gridCol w:w="1240"/>
        <w:gridCol w:w="1240"/>
      </w:tblGrid>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rPr>
            </w:pPr>
            <w:r w:rsidRPr="0041265F">
              <w:rPr>
                <w:rFonts w:ascii="Times New Roman" w:eastAsia="Times New Roman" w:hAnsi="Times New Roman" w:cs="Times New Roman"/>
                <w:color w:val="000000"/>
                <w:sz w:val="20"/>
                <w:szCs w:val="20"/>
              </w:rPr>
              <w:t>IRA</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rPr>
            </w:pPr>
            <w:r w:rsidRPr="0041265F">
              <w:rPr>
                <w:rFonts w:ascii="Times New Roman" w:eastAsia="Times New Roman" w:hAnsi="Times New Roman" w:cs="Times New Roman"/>
                <w:color w:val="000000"/>
                <w:sz w:val="20"/>
                <w:szCs w:val="20"/>
              </w:rPr>
              <w:t>Others</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rPr>
            </w:pPr>
            <w:r w:rsidRPr="0041265F">
              <w:rPr>
                <w:rFonts w:ascii="Times New Roman" w:eastAsia="Times New Roman" w:hAnsi="Times New Roman" w:cs="Times New Roman"/>
                <w:color w:val="000000"/>
                <w:sz w:val="20"/>
                <w:szCs w:val="20"/>
              </w:rPr>
              <w:t xml:space="preserve">Always private, not </w:t>
            </w:r>
            <w:proofErr w:type="spellStart"/>
            <w:r w:rsidRPr="0041265F">
              <w:rPr>
                <w:rFonts w:ascii="Times New Roman" w:eastAsia="Times New Roman" w:hAnsi="Times New Roman" w:cs="Times New Roman"/>
                <w:color w:val="000000"/>
                <w:sz w:val="20"/>
                <w:szCs w:val="20"/>
              </w:rPr>
              <w:t>affilliated</w:t>
            </w:r>
            <w:proofErr w:type="spellEnd"/>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rPr>
            </w:pPr>
            <w:r w:rsidRPr="0041265F">
              <w:rPr>
                <w:rFonts w:ascii="Times New Roman" w:eastAsia="Times New Roman" w:hAnsi="Times New Roman" w:cs="Times New Roman"/>
                <w:color w:val="000000"/>
                <w:sz w:val="20"/>
                <w:szCs w:val="20"/>
              </w:rPr>
              <w:t xml:space="preserve">Always public, </w:t>
            </w:r>
            <w:proofErr w:type="spellStart"/>
            <w:r w:rsidRPr="0041265F">
              <w:rPr>
                <w:rFonts w:ascii="Times New Roman" w:eastAsia="Times New Roman" w:hAnsi="Times New Roman" w:cs="Times New Roman"/>
                <w:color w:val="000000"/>
                <w:sz w:val="20"/>
                <w:szCs w:val="20"/>
              </w:rPr>
              <w:t>affilliated</w:t>
            </w:r>
            <w:proofErr w:type="spellEnd"/>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rPr>
            </w:pPr>
            <w:r w:rsidRPr="0041265F">
              <w:rPr>
                <w:rFonts w:ascii="Times New Roman" w:eastAsia="Times New Roman" w:hAnsi="Times New Roman" w:cs="Times New Roman"/>
                <w:color w:val="000000"/>
                <w:sz w:val="20"/>
                <w:szCs w:val="20"/>
              </w:rPr>
              <w:t xml:space="preserve">Always public, not </w:t>
            </w:r>
            <w:proofErr w:type="spellStart"/>
            <w:r w:rsidRPr="0041265F">
              <w:rPr>
                <w:rFonts w:ascii="Times New Roman" w:eastAsia="Times New Roman" w:hAnsi="Times New Roman" w:cs="Times New Roman"/>
                <w:color w:val="000000"/>
                <w:sz w:val="20"/>
                <w:szCs w:val="20"/>
              </w:rPr>
              <w:t>affilliated</w:t>
            </w:r>
            <w:proofErr w:type="spellEnd"/>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rPr>
              <w:t xml:space="preserve">Public to private, </w:t>
            </w:r>
            <w:r w:rsidRPr="0041265F">
              <w:rPr>
                <w:rFonts w:ascii="Times New Roman" w:eastAsia="Times New Roman" w:hAnsi="Times New Roman" w:cs="Times New Roman"/>
                <w:color w:val="000000"/>
                <w:sz w:val="20"/>
                <w:szCs w:val="20"/>
                <w:lang w:val="pt-BR"/>
              </w:rPr>
              <w:t>affilliated</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rPr>
            </w:pPr>
            <w:r w:rsidRPr="0041265F">
              <w:rPr>
                <w:rFonts w:ascii="Times New Roman" w:eastAsia="Times New Roman" w:hAnsi="Times New Roman" w:cs="Times New Roman"/>
                <w:color w:val="000000"/>
                <w:sz w:val="20"/>
                <w:szCs w:val="20"/>
              </w:rPr>
              <w:t xml:space="preserve">Public to private, not </w:t>
            </w:r>
            <w:proofErr w:type="spellStart"/>
            <w:r w:rsidRPr="0041265F">
              <w:rPr>
                <w:rFonts w:ascii="Times New Roman" w:eastAsia="Times New Roman" w:hAnsi="Times New Roman" w:cs="Times New Roman"/>
                <w:color w:val="000000"/>
                <w:sz w:val="20"/>
                <w:szCs w:val="20"/>
              </w:rPr>
              <w:t>affilliated</w:t>
            </w:r>
            <w:proofErr w:type="spellEnd"/>
          </w:p>
        </w:tc>
      </w:tr>
      <w:tr w:rsidR="0041265F" w:rsidRPr="0041265F" w:rsidTr="0041265F">
        <w:trPr>
          <w:trHeight w:val="548"/>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ANP</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3.06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1.15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(0.88)</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(-0.16)</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0.96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(1.17)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(-1.01)</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(-0.33)</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ANAC</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3.9</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(0.07)</w:t>
            </w:r>
          </w:p>
        </w:tc>
        <w:tc>
          <w:tcPr>
            <w:tcW w:w="1240" w:type="dxa"/>
            <w:shd w:val="clear" w:color="000000" w:fill="FFFF00"/>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1.46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(2.37)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2.8</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(-1.28)</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1.22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(-0.22)</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2.92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(0.05)</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(-0.61)</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ANATEL</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4.45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(-0.27)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1.67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(-0.59)</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(0.54)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1.39</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(0.58)</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3.34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(-0.22)</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1.95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(0.04)</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ANCINE</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2.78</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(0.16)</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1.04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(-0.05)</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(-0.83)</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(0.15)</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2.09</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1.22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(0.79)</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ANEEL</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4.17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(0.51)</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1.57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(-1.42)</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(1.38)</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(-0.3)</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3.13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(-0.77)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1.83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(0.15)</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ANS</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4.45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(0.33)</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1.67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(1.17)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(-0.13)</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1.39</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(-1.33)</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3.34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(-0.22)</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1.95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(0.04)</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ANTAQ</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1.95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(-0.82)</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0.73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(-0.93)</w:t>
            </w:r>
          </w:p>
        </w:tc>
        <w:tc>
          <w:tcPr>
            <w:tcW w:w="1240" w:type="dxa"/>
            <w:shd w:val="clear" w:color="000000" w:fill="FFFF00"/>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(2.54)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0.61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1.46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(-0.44)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(0.18)</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ANTT</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2.23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(-0.18)</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(0.37)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1.67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(1.2)</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0.97</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(-1.09)</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lastRenderedPageBreak/>
              <w:t>ANVISA</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3.06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1.15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(-1.19)</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(-0.95)</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0.96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(0.05)</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2.3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(1.33)</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(0.64)</w:t>
            </w:r>
          </w:p>
        </w:tc>
      </w:tr>
      <w:tr w:rsidR="0041265F" w:rsidRPr="0041265F" w:rsidTr="0041265F">
        <w:trPr>
          <w:trHeight w:val="900"/>
        </w:trPr>
        <w:tc>
          <w:tcPr>
            <w:tcW w:w="960" w:type="dxa"/>
            <w:shd w:val="clear" w:color="auto" w:fill="auto"/>
            <w:noWrap/>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ANA</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1.95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(0.05)</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0.73</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(0.34)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0</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1.4</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(-1.37)</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0.61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(0.54)</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2</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1.46</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(0.52)</w:t>
            </w:r>
          </w:p>
        </w:tc>
        <w:tc>
          <w:tcPr>
            <w:tcW w:w="1240" w:type="dxa"/>
            <w:shd w:val="clear" w:color="auto" w:fill="auto"/>
            <w:vAlign w:val="bottom"/>
            <w:hideMark/>
          </w:tcPr>
          <w:p w:rsidR="0041265F" w:rsidRPr="0041265F" w:rsidRDefault="0041265F" w:rsidP="0041265F">
            <w:pPr>
              <w:spacing w:before="0" w:after="0" w:line="240" w:lineRule="auto"/>
              <w:ind w:firstLine="0"/>
              <w:jc w:val="left"/>
              <w:rPr>
                <w:rFonts w:ascii="Times New Roman" w:eastAsia="Times New Roman" w:hAnsi="Times New Roman" w:cs="Times New Roman"/>
                <w:color w:val="000000"/>
                <w:sz w:val="20"/>
                <w:szCs w:val="20"/>
                <w:lang w:val="pt-BR"/>
              </w:rPr>
            </w:pPr>
            <w:r w:rsidRPr="0041265F">
              <w:rPr>
                <w:rFonts w:ascii="Times New Roman" w:eastAsia="Times New Roman" w:hAnsi="Times New Roman" w:cs="Times New Roman"/>
                <w:color w:val="000000"/>
                <w:sz w:val="20"/>
                <w:szCs w:val="20"/>
                <w:lang w:val="pt-BR"/>
              </w:rPr>
              <w:t>1</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0.85</w:t>
            </w:r>
            <w:r w:rsidRPr="0041265F">
              <w:rPr>
                <w:rFonts w:ascii="Times New Roman" w:eastAsia="Times New Roman" w:hAnsi="Times New Roman" w:cs="Times New Roman"/>
                <w:color w:val="000000"/>
                <w:sz w:val="20"/>
                <w:szCs w:val="20"/>
                <w:lang w:val="pt-BR"/>
              </w:rPr>
              <w:br/>
            </w:r>
            <w:r w:rsidRPr="0041265F">
              <w:rPr>
                <w:rFonts w:ascii="Times New Roman" w:eastAsia="Times New Roman" w:hAnsi="Times New Roman" w:cs="Times New Roman"/>
                <w:color w:val="000000"/>
                <w:sz w:val="20"/>
                <w:szCs w:val="20"/>
                <w:lang w:val="pt-BR"/>
              </w:rPr>
              <w:br/>
              <w:t>(0.18)</w:t>
            </w:r>
          </w:p>
        </w:tc>
      </w:tr>
    </w:tbl>
    <w:p w:rsidR="0041265F" w:rsidRPr="00BE0BB9" w:rsidRDefault="000931BE" w:rsidP="00F24E42">
      <w:pPr>
        <w:tabs>
          <w:tab w:val="left" w:pos="730"/>
          <w:tab w:val="center" w:pos="4252"/>
        </w:tabs>
        <w:spacing w:before="0" w:after="160" w:line="480" w:lineRule="auto"/>
        <w:ind w:firstLine="0"/>
        <w:jc w:val="left"/>
        <w:rPr>
          <w:rFonts w:ascii="Times New Roman" w:eastAsia="Times New Roman" w:hAnsi="Times New Roman" w:cs="Times New Roman"/>
          <w:sz w:val="20"/>
          <w:szCs w:val="24"/>
        </w:rPr>
      </w:pPr>
      <w:r w:rsidRPr="00BE0BB9">
        <w:rPr>
          <w:rFonts w:ascii="Times New Roman" w:eastAsia="Times New Roman" w:hAnsi="Times New Roman" w:cs="Times New Roman"/>
          <w:sz w:val="20"/>
          <w:szCs w:val="24"/>
        </w:rPr>
        <w:t>Note: observed and</w:t>
      </w:r>
      <w:r w:rsidR="00C0441B" w:rsidRPr="00BE0BB9">
        <w:rPr>
          <w:rFonts w:ascii="Times New Roman" w:eastAsia="Times New Roman" w:hAnsi="Times New Roman" w:cs="Times New Roman"/>
          <w:sz w:val="20"/>
          <w:szCs w:val="24"/>
        </w:rPr>
        <w:t xml:space="preserve"> expected </w:t>
      </w:r>
      <w:r w:rsidRPr="00BE0BB9">
        <w:rPr>
          <w:rFonts w:ascii="Times New Roman" w:eastAsia="Times New Roman" w:hAnsi="Times New Roman" w:cs="Times New Roman"/>
          <w:sz w:val="20"/>
          <w:szCs w:val="24"/>
        </w:rPr>
        <w:t xml:space="preserve">values in the first two lines, </w:t>
      </w:r>
      <w:r w:rsidR="00C0441B" w:rsidRPr="00BE0BB9">
        <w:rPr>
          <w:rFonts w:ascii="Times New Roman" w:eastAsia="Times New Roman" w:hAnsi="Times New Roman" w:cs="Times New Roman"/>
          <w:sz w:val="20"/>
          <w:szCs w:val="24"/>
        </w:rPr>
        <w:t xml:space="preserve">and standardized difference between </w:t>
      </w:r>
      <w:r w:rsidRPr="00BE0BB9">
        <w:rPr>
          <w:rFonts w:ascii="Times New Roman" w:eastAsia="Times New Roman" w:hAnsi="Times New Roman" w:cs="Times New Roman"/>
          <w:sz w:val="20"/>
          <w:szCs w:val="24"/>
        </w:rPr>
        <w:t>parentheses.</w:t>
      </w:r>
    </w:p>
    <w:p w:rsidR="000931BE" w:rsidRDefault="000931BE" w:rsidP="000931BE">
      <w:pPr>
        <w:tabs>
          <w:tab w:val="left" w:pos="2940"/>
          <w:tab w:val="center" w:pos="4612"/>
        </w:tabs>
        <w:spacing w:before="0" w:after="160"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Pr>
          <w:rFonts w:ascii="Times New Roman" w:eastAsia="Times New Roman" w:hAnsi="Times New Roman" w:cs="Times New Roman"/>
          <w:sz w:val="20"/>
          <w:szCs w:val="20"/>
        </w:rPr>
        <w:t>igure 3</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Mosaic plot: </w:t>
      </w:r>
      <w:r>
        <w:rPr>
          <w:rFonts w:ascii="Times New Roman" w:eastAsia="Times New Roman" w:hAnsi="Times New Roman" w:cs="Times New Roman"/>
          <w:sz w:val="20"/>
          <w:szCs w:val="20"/>
        </w:rPr>
        <w:t>Types of trajectories per agency</w:t>
      </w:r>
    </w:p>
    <w:p w:rsidR="0041265F" w:rsidRDefault="0041265F" w:rsidP="00BE0BB9">
      <w:pPr>
        <w:tabs>
          <w:tab w:val="left" w:pos="730"/>
          <w:tab w:val="center" w:pos="4252"/>
        </w:tabs>
        <w:spacing w:before="0" w:after="160" w:line="480" w:lineRule="auto"/>
        <w:ind w:firstLine="0"/>
        <w:jc w:val="center"/>
        <w:rPr>
          <w:rFonts w:ascii="Times New Roman" w:eastAsia="Times New Roman" w:hAnsi="Times New Roman" w:cs="Times New Roman"/>
          <w:sz w:val="24"/>
          <w:szCs w:val="24"/>
        </w:rPr>
      </w:pPr>
      <w:r>
        <w:rPr>
          <w:noProof/>
          <w:lang w:val="pt-BR"/>
        </w:rPr>
        <w:drawing>
          <wp:inline distT="0" distB="0" distL="0" distR="0" wp14:anchorId="5FFA7484" wp14:editId="4E94F014">
            <wp:extent cx="4127500" cy="4122646"/>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9068" cy="4124212"/>
                    </a:xfrm>
                    <a:prstGeom prst="rect">
                      <a:avLst/>
                    </a:prstGeom>
                  </pic:spPr>
                </pic:pic>
              </a:graphicData>
            </a:graphic>
          </wp:inline>
        </w:drawing>
      </w:r>
    </w:p>
    <w:p w:rsidR="00B26114" w:rsidRDefault="00B26114" w:rsidP="00F24E42">
      <w:pPr>
        <w:tabs>
          <w:tab w:val="left" w:pos="730"/>
          <w:tab w:val="center" w:pos="4252"/>
        </w:tabs>
        <w:spacing w:before="0" w:after="160" w:line="480" w:lineRule="auto"/>
        <w:ind w:firstLine="0"/>
        <w:jc w:val="left"/>
        <w:rPr>
          <w:rFonts w:ascii="Times New Roman" w:eastAsia="Times New Roman" w:hAnsi="Times New Roman" w:cs="Times New Roman"/>
          <w:sz w:val="24"/>
          <w:szCs w:val="24"/>
        </w:rPr>
      </w:pPr>
    </w:p>
    <w:p w:rsidR="00BE0BB9" w:rsidRDefault="00BE0BB9" w:rsidP="00F24E42">
      <w:pPr>
        <w:tabs>
          <w:tab w:val="left" w:pos="730"/>
          <w:tab w:val="center" w:pos="4252"/>
        </w:tabs>
        <w:spacing w:before="0" w:after="160" w:line="480" w:lineRule="auto"/>
        <w:ind w:firstLine="0"/>
        <w:jc w:val="left"/>
        <w:rPr>
          <w:rFonts w:ascii="Times New Roman" w:eastAsia="Times New Roman" w:hAnsi="Times New Roman" w:cs="Times New Roman"/>
          <w:sz w:val="24"/>
          <w:szCs w:val="24"/>
        </w:rPr>
      </w:pPr>
    </w:p>
    <w:p w:rsidR="00BE0BB9" w:rsidRPr="00BC10CA" w:rsidRDefault="00BE0BB9" w:rsidP="00F24E42">
      <w:pPr>
        <w:tabs>
          <w:tab w:val="left" w:pos="730"/>
          <w:tab w:val="center" w:pos="4252"/>
        </w:tabs>
        <w:spacing w:before="0" w:after="160" w:line="480" w:lineRule="auto"/>
        <w:ind w:firstLine="0"/>
        <w:jc w:val="left"/>
        <w:rPr>
          <w:rFonts w:ascii="Times New Roman" w:eastAsia="Times New Roman" w:hAnsi="Times New Roman" w:cs="Times New Roman"/>
          <w:sz w:val="24"/>
          <w:szCs w:val="24"/>
        </w:rPr>
      </w:pPr>
    </w:p>
    <w:p w:rsidR="00F24E42" w:rsidRDefault="00F24E42" w:rsidP="00F24E42">
      <w:pPr>
        <w:tabs>
          <w:tab w:val="left" w:pos="730"/>
          <w:tab w:val="center" w:pos="4252"/>
        </w:tabs>
        <w:spacing w:before="0" w:after="160" w:line="480" w:lineRule="auto"/>
        <w:ind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sidR="00BE0BB9">
        <w:rPr>
          <w:rFonts w:ascii="Times New Roman" w:eastAsia="Times New Roman" w:hAnsi="Times New Roman" w:cs="Times New Roman"/>
          <w:b/>
          <w:sz w:val="24"/>
          <w:szCs w:val="24"/>
        </w:rPr>
        <w:t>OPTIMAL MATCHING ANALYSIS</w:t>
      </w:r>
    </w:p>
    <w:p w:rsidR="00C263B8" w:rsidRDefault="001722A5" w:rsidP="00BE0BB9">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C0441B">
        <w:rPr>
          <w:rFonts w:ascii="Times New Roman" w:eastAsia="Times New Roman" w:hAnsi="Times New Roman" w:cs="Times New Roman"/>
          <w:sz w:val="24"/>
          <w:szCs w:val="24"/>
        </w:rPr>
        <w:t xml:space="preserve">esides the coding of sequences and the </w:t>
      </w:r>
      <w:proofErr w:type="gramStart"/>
      <w:r w:rsidR="00C0441B">
        <w:rPr>
          <w:rFonts w:ascii="Times New Roman" w:eastAsia="Times New Roman" w:hAnsi="Times New Roman" w:cs="Times New Roman"/>
          <w:sz w:val="24"/>
          <w:szCs w:val="24"/>
        </w:rPr>
        <w:t>time frame</w:t>
      </w:r>
      <w:proofErr w:type="gramEnd"/>
      <w:r w:rsidR="00C0441B">
        <w:rPr>
          <w:rFonts w:ascii="Times New Roman" w:eastAsia="Times New Roman" w:hAnsi="Times New Roman" w:cs="Times New Roman"/>
          <w:sz w:val="24"/>
          <w:szCs w:val="24"/>
        </w:rPr>
        <w:t xml:space="preserve">, there are two critical decisions in applying OMA: the deletion/insertion and replacement costs between the states, when applicable; and the criterion for grouping the sequences. Simulations </w:t>
      </w:r>
      <w:proofErr w:type="gramStart"/>
      <w:r w:rsidR="00C0441B">
        <w:rPr>
          <w:rFonts w:ascii="Times New Roman" w:eastAsia="Times New Roman" w:hAnsi="Times New Roman" w:cs="Times New Roman"/>
          <w:sz w:val="24"/>
          <w:szCs w:val="24"/>
        </w:rPr>
        <w:t>were conducted</w:t>
      </w:r>
      <w:proofErr w:type="gramEnd"/>
      <w:r w:rsidR="00C0441B">
        <w:rPr>
          <w:rFonts w:ascii="Times New Roman" w:eastAsia="Times New Roman" w:hAnsi="Times New Roman" w:cs="Times New Roman"/>
          <w:sz w:val="24"/>
          <w:szCs w:val="24"/>
        </w:rPr>
        <w:t xml:space="preserve"> using the R statistical programming language. The </w:t>
      </w:r>
      <w:proofErr w:type="spellStart"/>
      <w:r w:rsidR="00C0441B">
        <w:rPr>
          <w:rFonts w:ascii="Times New Roman" w:eastAsia="Times New Roman" w:hAnsi="Times New Roman" w:cs="Times New Roman"/>
          <w:sz w:val="24"/>
          <w:szCs w:val="24"/>
        </w:rPr>
        <w:t>TraMineR</w:t>
      </w:r>
      <w:proofErr w:type="spellEnd"/>
      <w:r w:rsidR="00C0441B">
        <w:rPr>
          <w:rFonts w:ascii="Times New Roman" w:eastAsia="Times New Roman" w:hAnsi="Times New Roman" w:cs="Times New Roman"/>
          <w:sz w:val="24"/>
          <w:szCs w:val="24"/>
        </w:rPr>
        <w:t xml:space="preserve"> package </w:t>
      </w:r>
      <w:proofErr w:type="gramStart"/>
      <w:r w:rsidR="00C0441B">
        <w:rPr>
          <w:rFonts w:ascii="Times New Roman" w:eastAsia="Times New Roman" w:hAnsi="Times New Roman" w:cs="Times New Roman"/>
          <w:sz w:val="24"/>
          <w:szCs w:val="24"/>
        </w:rPr>
        <w:t>was used</w:t>
      </w:r>
      <w:proofErr w:type="gramEnd"/>
      <w:r w:rsidR="00C0441B">
        <w:rPr>
          <w:rFonts w:ascii="Times New Roman" w:eastAsia="Times New Roman" w:hAnsi="Times New Roman" w:cs="Times New Roman"/>
          <w:sz w:val="24"/>
          <w:szCs w:val="24"/>
        </w:rPr>
        <w:t xml:space="preserve"> for the sequence analysis, as described by </w:t>
      </w:r>
      <w:proofErr w:type="spellStart"/>
      <w:r w:rsidR="00C0441B">
        <w:rPr>
          <w:rFonts w:ascii="Times New Roman" w:eastAsia="Times New Roman" w:hAnsi="Times New Roman" w:cs="Times New Roman"/>
          <w:sz w:val="24"/>
          <w:szCs w:val="24"/>
        </w:rPr>
        <w:t>Gabadinho</w:t>
      </w:r>
      <w:proofErr w:type="spellEnd"/>
      <w:r w:rsidR="00C0441B">
        <w:rPr>
          <w:rFonts w:ascii="Times New Roman" w:eastAsia="Times New Roman" w:hAnsi="Times New Roman" w:cs="Times New Roman"/>
          <w:sz w:val="24"/>
          <w:szCs w:val="24"/>
        </w:rPr>
        <w:t xml:space="preserve"> et al. (2011). The </w:t>
      </w:r>
      <w:proofErr w:type="spellStart"/>
      <w:r w:rsidR="00C0441B">
        <w:rPr>
          <w:rFonts w:ascii="Times New Roman" w:eastAsia="Times New Roman" w:hAnsi="Times New Roman" w:cs="Times New Roman"/>
          <w:sz w:val="24"/>
          <w:szCs w:val="24"/>
        </w:rPr>
        <w:t>TraMineR</w:t>
      </w:r>
      <w:proofErr w:type="spellEnd"/>
      <w:r w:rsidR="00C0441B">
        <w:rPr>
          <w:rFonts w:ascii="Times New Roman" w:eastAsia="Times New Roman" w:hAnsi="Times New Roman" w:cs="Times New Roman"/>
          <w:sz w:val="24"/>
          <w:szCs w:val="24"/>
        </w:rPr>
        <w:t xml:space="preserve"> algorithm is essentially that of Needleman and </w:t>
      </w:r>
      <w:proofErr w:type="spellStart"/>
      <w:r w:rsidR="00C0441B">
        <w:rPr>
          <w:rFonts w:ascii="Times New Roman" w:eastAsia="Times New Roman" w:hAnsi="Times New Roman" w:cs="Times New Roman"/>
          <w:sz w:val="24"/>
          <w:szCs w:val="24"/>
        </w:rPr>
        <w:t>Wunsch</w:t>
      </w:r>
      <w:proofErr w:type="spellEnd"/>
      <w:r w:rsidR="00C0441B">
        <w:rPr>
          <w:rFonts w:ascii="Times New Roman" w:eastAsia="Times New Roman" w:hAnsi="Times New Roman" w:cs="Times New Roman"/>
          <w:sz w:val="24"/>
          <w:szCs w:val="24"/>
        </w:rPr>
        <w:t>, with standard optimizations (</w:t>
      </w:r>
      <w:proofErr w:type="spellStart"/>
      <w:r w:rsidR="00C0441B">
        <w:rPr>
          <w:rFonts w:ascii="Times New Roman" w:eastAsia="Times New Roman" w:hAnsi="Times New Roman" w:cs="Times New Roman"/>
          <w:sz w:val="24"/>
          <w:szCs w:val="24"/>
        </w:rPr>
        <w:t>Gabadinho</w:t>
      </w:r>
      <w:proofErr w:type="spellEnd"/>
      <w:r w:rsidR="00C0441B">
        <w:rPr>
          <w:rFonts w:ascii="Times New Roman" w:eastAsia="Times New Roman" w:hAnsi="Times New Roman" w:cs="Times New Roman"/>
          <w:sz w:val="24"/>
          <w:szCs w:val="24"/>
        </w:rPr>
        <w:t xml:space="preserve"> et al., 2011). </w:t>
      </w:r>
    </w:p>
    <w:p w:rsidR="00C263B8" w:rsidRDefault="00C0441B">
      <w:pPr>
        <w:spacing w:before="0"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transition costs between states </w:t>
      </w:r>
      <w:proofErr w:type="gramStart"/>
      <w:r>
        <w:rPr>
          <w:rFonts w:ascii="Times New Roman" w:eastAsia="Times New Roman" w:hAnsi="Times New Roman" w:cs="Times New Roman"/>
          <w:sz w:val="24"/>
          <w:szCs w:val="24"/>
        </w:rPr>
        <w:t>were based</w:t>
      </w:r>
      <w:proofErr w:type="gramEnd"/>
      <w:r>
        <w:rPr>
          <w:rFonts w:ascii="Times New Roman" w:eastAsia="Times New Roman" w:hAnsi="Times New Roman" w:cs="Times New Roman"/>
          <w:sz w:val="24"/>
          <w:szCs w:val="24"/>
        </w:rPr>
        <w:t xml:space="preserve"> on transition probabilities. This choice has been a growing trend in the literature (</w:t>
      </w:r>
      <w:proofErr w:type="spellStart"/>
      <w:r>
        <w:rPr>
          <w:rFonts w:ascii="Times New Roman" w:eastAsia="Times New Roman" w:hAnsi="Times New Roman" w:cs="Times New Roman"/>
          <w:sz w:val="24"/>
          <w:szCs w:val="24"/>
        </w:rPr>
        <w:t>Aisenbrey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Fasang</w:t>
      </w:r>
      <w:proofErr w:type="spellEnd"/>
      <w:r>
        <w:rPr>
          <w:rFonts w:ascii="Times New Roman" w:eastAsia="Times New Roman" w:hAnsi="Times New Roman" w:cs="Times New Roman"/>
          <w:sz w:val="24"/>
          <w:szCs w:val="24"/>
        </w:rPr>
        <w:t xml:space="preserve">, 2010; </w:t>
      </w:r>
      <w:proofErr w:type="spellStart"/>
      <w:r>
        <w:rPr>
          <w:rFonts w:ascii="Times New Roman" w:eastAsia="Times New Roman" w:hAnsi="Times New Roman" w:cs="Times New Roman"/>
          <w:sz w:val="24"/>
          <w:szCs w:val="24"/>
        </w:rPr>
        <w:t>Dlouhy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Biemann</w:t>
      </w:r>
      <w:proofErr w:type="spellEnd"/>
      <w:r>
        <w:rPr>
          <w:rFonts w:ascii="Times New Roman" w:eastAsia="Times New Roman" w:hAnsi="Times New Roman" w:cs="Times New Roman"/>
          <w:sz w:val="24"/>
          <w:szCs w:val="24"/>
        </w:rPr>
        <w:t xml:space="preserve">, 2015). Mathematically, the transition cost from state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to state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w:t>
      </w:r>
      <w:proofErr w:type="spellStart"/>
      <w:r>
        <w:rPr>
          <w:rFonts w:ascii="Gungsuh" w:eastAsia="Gungsuh" w:hAnsi="Gungsuh" w:cs="Gungsuh"/>
          <w:i/>
          <w:sz w:val="24"/>
          <w:szCs w:val="24"/>
        </w:rPr>
        <w:t>i</w:t>
      </w:r>
      <w:proofErr w:type="spellEnd"/>
      <w:r>
        <w:rPr>
          <w:rFonts w:ascii="Gungsuh" w:eastAsia="Gungsuh" w:hAnsi="Gungsuh" w:cs="Gungsuh"/>
          <w:i/>
          <w:sz w:val="24"/>
          <w:szCs w:val="24"/>
        </w:rPr>
        <w:t xml:space="preserve"> ≠ j</w:t>
      </w:r>
      <w:r>
        <w:rPr>
          <w:rFonts w:ascii="Times New Roman" w:eastAsia="Times New Roman" w:hAnsi="Times New Roman" w:cs="Times New Roman"/>
          <w:sz w:val="24"/>
          <w:szCs w:val="24"/>
        </w:rPr>
        <w:t xml:space="preserve">) is equal to 2 – </w:t>
      </w:r>
      <w:proofErr w:type="gramStart"/>
      <w:r>
        <w:rPr>
          <w:rFonts w:ascii="Times New Roman" w:eastAsia="Times New Roman" w:hAnsi="Times New Roman" w:cs="Times New Roman"/>
          <w:i/>
          <w:sz w:val="24"/>
          <w:szCs w:val="24"/>
        </w:rPr>
        <w:t>p(</w:t>
      </w:r>
      <w:proofErr w:type="spellStart"/>
      <w:proofErr w:type="gramEnd"/>
      <w:r>
        <w:rPr>
          <w:rFonts w:ascii="Times New Roman" w:eastAsia="Times New Roman" w:hAnsi="Times New Roman" w:cs="Times New Roman"/>
          <w:i/>
          <w:sz w:val="24"/>
          <w:szCs w:val="24"/>
        </w:rPr>
        <w:t>i|j</w:t>
      </w:r>
      <w:proofErr w:type="spellEnd"/>
      <w:r>
        <w:rPr>
          <w:rFonts w:ascii="Times New Roman" w:eastAsia="Times New Roman" w:hAnsi="Times New Roman" w:cs="Times New Roman"/>
          <w:i/>
          <w:sz w:val="24"/>
          <w:szCs w:val="24"/>
        </w:rPr>
        <w:t>) – p (</w:t>
      </w:r>
      <w:proofErr w:type="spellStart"/>
      <w:r>
        <w:rPr>
          <w:rFonts w:ascii="Times New Roman" w:eastAsia="Times New Roman" w:hAnsi="Times New Roman" w:cs="Times New Roman"/>
          <w:i/>
          <w:sz w:val="24"/>
          <w:szCs w:val="24"/>
        </w:rPr>
        <w:t>j|i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p(</w:t>
      </w:r>
      <w:proofErr w:type="spellStart"/>
      <w:r>
        <w:rPr>
          <w:rFonts w:ascii="Times New Roman" w:eastAsia="Times New Roman" w:hAnsi="Times New Roman" w:cs="Times New Roman"/>
          <w:i/>
          <w:sz w:val="24"/>
          <w:szCs w:val="24"/>
        </w:rPr>
        <w:t>i|j</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transition rate between states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xml:space="preserve">in the sample. The rationale behind this approach is that the transitions observed more frequently are less costly than less frequent transitions. By definition, the probability of a transition from one state to itself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equal to one, which makes the transition cost zero.</w:t>
      </w:r>
    </w:p>
    <w:p w:rsidR="00C263B8" w:rsidRDefault="00C0441B">
      <w:pPr>
        <w:spacing w:before="0" w:after="0" w:line="480" w:lineRule="auto"/>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clustering method was Ward’s hierarchical cluster, a standard in the literature. The choice of the number of clusters involved the analysis of some measures available in the R cluster package of and visual </w:t>
      </w:r>
      <w:proofErr w:type="spellStart"/>
      <w:r>
        <w:rPr>
          <w:rFonts w:ascii="Times New Roman" w:eastAsia="Times New Roman" w:hAnsi="Times New Roman" w:cs="Times New Roman"/>
          <w:sz w:val="24"/>
          <w:szCs w:val="24"/>
        </w:rPr>
        <w:t>dendrogram</w:t>
      </w:r>
      <w:proofErr w:type="spellEnd"/>
      <w:r>
        <w:rPr>
          <w:rFonts w:ascii="Times New Roman" w:eastAsia="Times New Roman" w:hAnsi="Times New Roman" w:cs="Times New Roman"/>
          <w:sz w:val="24"/>
          <w:szCs w:val="24"/>
        </w:rPr>
        <w:t xml:space="preserve"> inspection. No definitive criterion to choose the number of clusters exists; some methods and indicators aid researchers in this decision, but they often do not point towards a single solution. In the end, the choice of this number is somehow subj</w:t>
      </w:r>
      <w:r w:rsidR="00BF7AA1">
        <w:rPr>
          <w:rFonts w:ascii="Times New Roman" w:eastAsia="Times New Roman" w:hAnsi="Times New Roman" w:cs="Times New Roman"/>
          <w:sz w:val="24"/>
          <w:szCs w:val="24"/>
        </w:rPr>
        <w:t>ective. Herein, we chose a fourfold</w:t>
      </w:r>
      <w:r>
        <w:rPr>
          <w:rFonts w:ascii="Times New Roman" w:eastAsia="Times New Roman" w:hAnsi="Times New Roman" w:cs="Times New Roman"/>
          <w:sz w:val="24"/>
          <w:szCs w:val="24"/>
        </w:rPr>
        <w:t xml:space="preserve"> solution based on three indicators, the </w:t>
      </w:r>
      <w:proofErr w:type="spellStart"/>
      <w:r>
        <w:rPr>
          <w:rFonts w:ascii="Times New Roman" w:eastAsia="Times New Roman" w:hAnsi="Times New Roman" w:cs="Times New Roman"/>
          <w:sz w:val="24"/>
          <w:szCs w:val="24"/>
        </w:rPr>
        <w:t>dendrogram</w:t>
      </w:r>
      <w:proofErr w:type="spellEnd"/>
      <w:r>
        <w:rPr>
          <w:rFonts w:ascii="Times New Roman" w:eastAsia="Times New Roman" w:hAnsi="Times New Roman" w:cs="Times New Roman"/>
          <w:sz w:val="24"/>
          <w:szCs w:val="24"/>
        </w:rPr>
        <w:t xml:space="preserve"> and the analytical power of such a solution compared to alternatives. All code used to conduct the simulations and generate plots, as well as the simulation results presented herein, are available upon request.</w:t>
      </w:r>
    </w:p>
    <w:p w:rsidR="0041683D" w:rsidRDefault="00CF522E" w:rsidP="00CF522E">
      <w:pPr>
        <w:tabs>
          <w:tab w:val="left" w:pos="2550"/>
          <w:tab w:val="left" w:pos="2940"/>
          <w:tab w:val="center" w:pos="4612"/>
        </w:tabs>
        <w:spacing w:before="0" w:after="160" w:line="480" w:lineRule="auto"/>
        <w:ind w:firstLine="7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r>
      <w:r w:rsidR="0041683D">
        <w:rPr>
          <w:rFonts w:ascii="Times New Roman" w:eastAsia="Times New Roman" w:hAnsi="Times New Roman" w:cs="Times New Roman"/>
          <w:sz w:val="20"/>
          <w:szCs w:val="20"/>
        </w:rPr>
        <w:t>F</w:t>
      </w:r>
      <w:r w:rsidR="0041683D">
        <w:rPr>
          <w:rFonts w:ascii="Times New Roman" w:eastAsia="Times New Roman" w:hAnsi="Times New Roman" w:cs="Times New Roman"/>
          <w:sz w:val="20"/>
          <w:szCs w:val="20"/>
        </w:rPr>
        <w:t>igure 4</w:t>
      </w:r>
      <w:r w:rsidR="0041683D">
        <w:rPr>
          <w:rFonts w:ascii="Times New Roman" w:eastAsia="Times New Roman" w:hAnsi="Times New Roman" w:cs="Times New Roman"/>
          <w:sz w:val="20"/>
          <w:szCs w:val="20"/>
        </w:rPr>
        <w:t xml:space="preserve">. </w:t>
      </w:r>
      <w:proofErr w:type="spellStart"/>
      <w:r w:rsidR="0041683D">
        <w:rPr>
          <w:rFonts w:ascii="Times New Roman" w:eastAsia="Times New Roman" w:hAnsi="Times New Roman" w:cs="Times New Roman"/>
          <w:sz w:val="20"/>
          <w:szCs w:val="20"/>
        </w:rPr>
        <w:t>Dendogram</w:t>
      </w:r>
      <w:proofErr w:type="spellEnd"/>
      <w:r w:rsidR="0041683D">
        <w:rPr>
          <w:rFonts w:ascii="Times New Roman" w:eastAsia="Times New Roman" w:hAnsi="Times New Roman" w:cs="Times New Roman"/>
          <w:sz w:val="20"/>
          <w:szCs w:val="20"/>
        </w:rPr>
        <w:t xml:space="preserve"> of OMA: </w:t>
      </w:r>
      <w:proofErr w:type="gramStart"/>
      <w:r w:rsidR="0041683D">
        <w:rPr>
          <w:rFonts w:ascii="Times New Roman" w:eastAsia="Times New Roman" w:hAnsi="Times New Roman" w:cs="Times New Roman"/>
          <w:sz w:val="20"/>
          <w:szCs w:val="20"/>
        </w:rPr>
        <w:t>4</w:t>
      </w:r>
      <w:proofErr w:type="gramEnd"/>
      <w:r w:rsidR="0041683D">
        <w:rPr>
          <w:rFonts w:ascii="Times New Roman" w:eastAsia="Times New Roman" w:hAnsi="Times New Roman" w:cs="Times New Roman"/>
          <w:sz w:val="20"/>
          <w:szCs w:val="20"/>
        </w:rPr>
        <w:t xml:space="preserve"> cluster solution</w:t>
      </w:r>
    </w:p>
    <w:p w:rsidR="0041683D" w:rsidRDefault="0041683D">
      <w:pPr>
        <w:spacing w:before="0" w:after="0" w:line="480" w:lineRule="auto"/>
        <w:ind w:firstLine="426"/>
        <w:rPr>
          <w:rFonts w:ascii="Times New Roman" w:eastAsia="Times New Roman" w:hAnsi="Times New Roman" w:cs="Times New Roman"/>
          <w:sz w:val="24"/>
          <w:szCs w:val="24"/>
        </w:rPr>
      </w:pPr>
      <w:r>
        <w:rPr>
          <w:noProof/>
          <w:lang w:val="pt-BR"/>
        </w:rPr>
        <w:drawing>
          <wp:inline distT="0" distB="0" distL="0" distR="0" wp14:anchorId="284640E6" wp14:editId="1EDD97BD">
            <wp:extent cx="5400040" cy="27336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33675"/>
                    </a:xfrm>
                    <a:prstGeom prst="rect">
                      <a:avLst/>
                    </a:prstGeom>
                  </pic:spPr>
                </pic:pic>
              </a:graphicData>
            </a:graphic>
          </wp:inline>
        </w:drawing>
      </w:r>
    </w:p>
    <w:p w:rsidR="00CF522E" w:rsidRPr="00CF522E" w:rsidRDefault="00CF522E" w:rsidP="00CF522E">
      <w:pPr>
        <w:tabs>
          <w:tab w:val="left" w:pos="2550"/>
          <w:tab w:val="left" w:pos="2940"/>
          <w:tab w:val="center" w:pos="4612"/>
        </w:tabs>
        <w:spacing w:before="0" w:after="160" w:line="480" w:lineRule="auto"/>
        <w:ind w:firstLine="7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b/>
        <w:t>F</w:t>
      </w:r>
      <w:r>
        <w:rPr>
          <w:rFonts w:ascii="Times New Roman" w:eastAsia="Times New Roman" w:hAnsi="Times New Roman" w:cs="Times New Roman"/>
          <w:sz w:val="20"/>
          <w:szCs w:val="20"/>
        </w:rPr>
        <w:t>igure 5</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Distribution of states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4</w:t>
      </w:r>
      <w:proofErr w:type="gramEnd"/>
      <w:r>
        <w:rPr>
          <w:rFonts w:ascii="Times New Roman" w:eastAsia="Times New Roman" w:hAnsi="Times New Roman" w:cs="Times New Roman"/>
          <w:sz w:val="20"/>
          <w:szCs w:val="20"/>
        </w:rPr>
        <w:t xml:space="preserve"> cluster solution</w:t>
      </w:r>
    </w:p>
    <w:p w:rsidR="00CF522E" w:rsidRDefault="00CF522E" w:rsidP="000414EB">
      <w:pPr>
        <w:spacing w:before="0" w:after="160" w:line="480" w:lineRule="auto"/>
        <w:ind w:firstLine="0"/>
        <w:rPr>
          <w:rFonts w:ascii="Times New Roman" w:eastAsia="Times New Roman" w:hAnsi="Times New Roman" w:cs="Times New Roman"/>
          <w:sz w:val="24"/>
          <w:szCs w:val="24"/>
        </w:rPr>
      </w:pPr>
      <w:r>
        <w:rPr>
          <w:noProof/>
          <w:lang w:val="pt-BR"/>
        </w:rPr>
        <w:drawing>
          <wp:inline distT="0" distB="0" distL="0" distR="0" wp14:anchorId="3C72E4BE" wp14:editId="7BB4F075">
            <wp:extent cx="5400040" cy="27336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3675"/>
                    </a:xfrm>
                    <a:prstGeom prst="rect">
                      <a:avLst/>
                    </a:prstGeom>
                  </pic:spPr>
                </pic:pic>
              </a:graphicData>
            </a:graphic>
          </wp:inline>
        </w:drawing>
      </w:r>
    </w:p>
    <w:p w:rsidR="00C66DBC" w:rsidRDefault="00C66DBC" w:rsidP="00C66DBC">
      <w:pPr>
        <w:tabs>
          <w:tab w:val="left" w:pos="2550"/>
          <w:tab w:val="left" w:pos="2940"/>
          <w:tab w:val="center" w:pos="4612"/>
        </w:tabs>
        <w:spacing w:before="0" w:after="160" w:line="480" w:lineRule="auto"/>
        <w:ind w:firstLine="7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C66DBC" w:rsidRDefault="00C66DBC" w:rsidP="00C66DBC">
      <w:pPr>
        <w:tabs>
          <w:tab w:val="left" w:pos="2550"/>
          <w:tab w:val="left" w:pos="2940"/>
          <w:tab w:val="center" w:pos="4612"/>
        </w:tabs>
        <w:spacing w:before="0" w:after="160" w:line="480" w:lineRule="auto"/>
        <w:ind w:firstLine="720"/>
        <w:jc w:val="left"/>
        <w:rPr>
          <w:rFonts w:ascii="Times New Roman" w:eastAsia="Times New Roman" w:hAnsi="Times New Roman" w:cs="Times New Roman"/>
          <w:sz w:val="20"/>
          <w:szCs w:val="20"/>
        </w:rPr>
      </w:pPr>
    </w:p>
    <w:p w:rsidR="00C66DBC" w:rsidRDefault="00C66DBC" w:rsidP="00C66DBC">
      <w:pPr>
        <w:tabs>
          <w:tab w:val="left" w:pos="2550"/>
          <w:tab w:val="left" w:pos="2940"/>
          <w:tab w:val="center" w:pos="4612"/>
        </w:tabs>
        <w:spacing w:before="0" w:after="160" w:line="480" w:lineRule="auto"/>
        <w:ind w:firstLine="720"/>
        <w:jc w:val="left"/>
        <w:rPr>
          <w:rFonts w:ascii="Times New Roman" w:eastAsia="Times New Roman" w:hAnsi="Times New Roman" w:cs="Times New Roman"/>
          <w:sz w:val="20"/>
          <w:szCs w:val="20"/>
        </w:rPr>
      </w:pPr>
    </w:p>
    <w:p w:rsidR="00C66DBC" w:rsidRDefault="00C66DBC" w:rsidP="00C66DBC">
      <w:pPr>
        <w:tabs>
          <w:tab w:val="left" w:pos="2550"/>
          <w:tab w:val="left" w:pos="2940"/>
          <w:tab w:val="center" w:pos="4612"/>
        </w:tabs>
        <w:spacing w:before="0" w:after="160" w:line="480" w:lineRule="auto"/>
        <w:ind w:firstLine="720"/>
        <w:jc w:val="left"/>
        <w:rPr>
          <w:rFonts w:ascii="Times New Roman" w:eastAsia="Times New Roman" w:hAnsi="Times New Roman" w:cs="Times New Roman"/>
          <w:sz w:val="20"/>
          <w:szCs w:val="20"/>
        </w:rPr>
      </w:pPr>
    </w:p>
    <w:p w:rsidR="00C66DBC" w:rsidRPr="00CF522E" w:rsidRDefault="00C66DBC" w:rsidP="00C66DBC">
      <w:pPr>
        <w:tabs>
          <w:tab w:val="left" w:pos="2550"/>
          <w:tab w:val="left" w:pos="2940"/>
          <w:tab w:val="center" w:pos="4612"/>
        </w:tabs>
        <w:spacing w:before="0" w:after="160"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w:t>
      </w:r>
      <w:r>
        <w:rPr>
          <w:rFonts w:ascii="Times New Roman" w:eastAsia="Times New Roman" w:hAnsi="Times New Roman" w:cs="Times New Roman"/>
          <w:sz w:val="20"/>
          <w:szCs w:val="20"/>
        </w:rPr>
        <w:t>igure 6</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Most common sequences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4</w:t>
      </w:r>
      <w:proofErr w:type="gramEnd"/>
      <w:r>
        <w:rPr>
          <w:rFonts w:ascii="Times New Roman" w:eastAsia="Times New Roman" w:hAnsi="Times New Roman" w:cs="Times New Roman"/>
          <w:sz w:val="20"/>
          <w:szCs w:val="20"/>
        </w:rPr>
        <w:t xml:space="preserve"> cluster solution</w:t>
      </w:r>
    </w:p>
    <w:p w:rsidR="00CF522E" w:rsidRDefault="00C66DBC" w:rsidP="001722A5">
      <w:pPr>
        <w:spacing w:before="0" w:after="160" w:line="480" w:lineRule="auto"/>
        <w:ind w:firstLine="0"/>
        <w:rPr>
          <w:rFonts w:ascii="Times New Roman" w:eastAsia="Times New Roman" w:hAnsi="Times New Roman" w:cs="Times New Roman"/>
          <w:sz w:val="24"/>
          <w:szCs w:val="24"/>
        </w:rPr>
      </w:pPr>
      <w:r>
        <w:rPr>
          <w:noProof/>
          <w:lang w:val="pt-BR"/>
        </w:rPr>
        <w:drawing>
          <wp:inline distT="0" distB="0" distL="0" distR="0" wp14:anchorId="51EBF0B0" wp14:editId="6964FE0D">
            <wp:extent cx="5400040" cy="27336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33675"/>
                    </a:xfrm>
                    <a:prstGeom prst="rect">
                      <a:avLst/>
                    </a:prstGeom>
                  </pic:spPr>
                </pic:pic>
              </a:graphicData>
            </a:graphic>
          </wp:inline>
        </w:drawing>
      </w:r>
    </w:p>
    <w:p w:rsidR="001722A5" w:rsidRDefault="00C66DBC" w:rsidP="00C66DBC">
      <w:pPr>
        <w:spacing w:before="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surprisingly, t</w:t>
      </w:r>
      <w:r w:rsidR="0041683D">
        <w:rPr>
          <w:rFonts w:ascii="Times New Roman" w:eastAsia="Times New Roman" w:hAnsi="Times New Roman" w:cs="Times New Roman"/>
          <w:sz w:val="24"/>
          <w:szCs w:val="24"/>
        </w:rPr>
        <w:t>he fo</w:t>
      </w:r>
      <w:r w:rsidR="00CF522E">
        <w:rPr>
          <w:rFonts w:ascii="Times New Roman" w:eastAsia="Times New Roman" w:hAnsi="Times New Roman" w:cs="Times New Roman"/>
          <w:sz w:val="24"/>
          <w:szCs w:val="24"/>
        </w:rPr>
        <w:t>ur-cluster solution is very close to the previously presented</w:t>
      </w:r>
      <w:r w:rsidR="001722A5">
        <w:rPr>
          <w:rFonts w:ascii="Times New Roman" w:eastAsia="Times New Roman" w:hAnsi="Times New Roman" w:cs="Times New Roman"/>
          <w:sz w:val="24"/>
          <w:szCs w:val="24"/>
        </w:rPr>
        <w:t xml:space="preserve">: </w:t>
      </w:r>
    </w:p>
    <w:p w:rsidR="001722A5" w:rsidRPr="001722A5" w:rsidRDefault="001722A5" w:rsidP="001722A5">
      <w:pPr>
        <w:pStyle w:val="PargrafodaLista"/>
        <w:numPr>
          <w:ilvl w:val="0"/>
          <w:numId w:val="1"/>
        </w:numPr>
        <w:spacing w:before="0" w:after="160" w:line="480" w:lineRule="auto"/>
        <w:rPr>
          <w:rFonts w:ascii="Times New Roman" w:eastAsia="Times New Roman" w:hAnsi="Times New Roman" w:cs="Times New Roman"/>
          <w:sz w:val="24"/>
          <w:szCs w:val="24"/>
        </w:rPr>
      </w:pPr>
      <w:r w:rsidRPr="001722A5">
        <w:rPr>
          <w:rFonts w:ascii="Times New Roman" w:eastAsia="Times New Roman" w:hAnsi="Times New Roman" w:cs="Times New Roman"/>
          <w:sz w:val="24"/>
          <w:szCs w:val="24"/>
        </w:rPr>
        <w:t>Cluster 1</w:t>
      </w:r>
      <w:r w:rsidR="00CF522E">
        <w:rPr>
          <w:rFonts w:ascii="Times New Roman" w:eastAsia="Times New Roman" w:hAnsi="Times New Roman" w:cs="Times New Roman"/>
          <w:sz w:val="24"/>
          <w:szCs w:val="24"/>
        </w:rPr>
        <w:t xml:space="preserve"> (n=46) </w:t>
      </w:r>
      <w:r w:rsidRPr="001722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 servants</w:t>
      </w:r>
      <w:r w:rsidRPr="001722A5">
        <w:rPr>
          <w:rFonts w:ascii="Times New Roman" w:eastAsia="Times New Roman" w:hAnsi="Times New Roman" w:cs="Times New Roman"/>
          <w:sz w:val="24"/>
          <w:szCs w:val="24"/>
        </w:rPr>
        <w:t xml:space="preserve">, </w:t>
      </w:r>
      <w:r w:rsidR="00CF522E">
        <w:rPr>
          <w:rFonts w:ascii="Times New Roman" w:eastAsia="Times New Roman" w:hAnsi="Times New Roman" w:cs="Times New Roman"/>
          <w:sz w:val="24"/>
          <w:szCs w:val="24"/>
        </w:rPr>
        <w:t xml:space="preserve">not affiliated, who </w:t>
      </w:r>
      <w:r w:rsidRPr="001722A5">
        <w:rPr>
          <w:rFonts w:ascii="Times New Roman" w:eastAsia="Times New Roman" w:hAnsi="Times New Roman" w:cs="Times New Roman"/>
          <w:sz w:val="24"/>
          <w:szCs w:val="24"/>
        </w:rPr>
        <w:t xml:space="preserve">then </w:t>
      </w:r>
      <w:r w:rsidR="00CF522E">
        <w:rPr>
          <w:rFonts w:ascii="Times New Roman" w:eastAsia="Times New Roman" w:hAnsi="Times New Roman" w:cs="Times New Roman"/>
          <w:sz w:val="24"/>
          <w:szCs w:val="24"/>
        </w:rPr>
        <w:t xml:space="preserve">become private sector non-affiliated workers; </w:t>
      </w:r>
    </w:p>
    <w:p w:rsidR="001722A5" w:rsidRPr="001722A5" w:rsidRDefault="001722A5" w:rsidP="001722A5">
      <w:pPr>
        <w:pStyle w:val="PargrafodaLista"/>
        <w:numPr>
          <w:ilvl w:val="0"/>
          <w:numId w:val="1"/>
        </w:numPr>
        <w:spacing w:before="0" w:after="160" w:line="480" w:lineRule="auto"/>
        <w:rPr>
          <w:rFonts w:ascii="Times New Roman" w:eastAsia="Times New Roman" w:hAnsi="Times New Roman" w:cs="Times New Roman"/>
          <w:sz w:val="24"/>
          <w:szCs w:val="24"/>
        </w:rPr>
      </w:pPr>
      <w:r w:rsidRPr="001722A5">
        <w:rPr>
          <w:rFonts w:ascii="Times New Roman" w:eastAsia="Times New Roman" w:hAnsi="Times New Roman" w:cs="Times New Roman"/>
          <w:sz w:val="24"/>
          <w:szCs w:val="24"/>
        </w:rPr>
        <w:t xml:space="preserve">Cluster 2 </w:t>
      </w:r>
      <w:r w:rsidR="00CF522E">
        <w:rPr>
          <w:rFonts w:ascii="Times New Roman" w:eastAsia="Times New Roman" w:hAnsi="Times New Roman" w:cs="Times New Roman"/>
          <w:sz w:val="24"/>
          <w:szCs w:val="24"/>
        </w:rPr>
        <w:t xml:space="preserve">(n=23) </w:t>
      </w:r>
      <w:r>
        <w:rPr>
          <w:rFonts w:ascii="Times New Roman" w:eastAsia="Times New Roman" w:hAnsi="Times New Roman" w:cs="Times New Roman"/>
          <w:sz w:val="24"/>
          <w:szCs w:val="24"/>
        </w:rPr>
        <w:t>–</w:t>
      </w:r>
      <w:r w:rsidRPr="001722A5">
        <w:rPr>
          <w:rFonts w:ascii="Times New Roman" w:eastAsia="Times New Roman" w:hAnsi="Times New Roman" w:cs="Times New Roman"/>
          <w:sz w:val="24"/>
          <w:szCs w:val="24"/>
        </w:rPr>
        <w:t xml:space="preserve"> </w:t>
      </w:r>
      <w:r w:rsidR="00CF522E">
        <w:rPr>
          <w:rFonts w:ascii="Times New Roman" w:eastAsia="Times New Roman" w:hAnsi="Times New Roman" w:cs="Times New Roman"/>
          <w:sz w:val="24"/>
          <w:szCs w:val="24"/>
        </w:rPr>
        <w:t>politically affiliated public servants, who return to their positions after their terms as regulators</w:t>
      </w:r>
      <w:r w:rsidRPr="001722A5">
        <w:rPr>
          <w:rFonts w:ascii="Times New Roman" w:eastAsia="Times New Roman" w:hAnsi="Times New Roman" w:cs="Times New Roman"/>
          <w:sz w:val="24"/>
          <w:szCs w:val="24"/>
        </w:rPr>
        <w:t>;</w:t>
      </w:r>
    </w:p>
    <w:p w:rsidR="001722A5" w:rsidRPr="001722A5" w:rsidRDefault="001722A5" w:rsidP="001722A5">
      <w:pPr>
        <w:pStyle w:val="PargrafodaLista"/>
        <w:numPr>
          <w:ilvl w:val="0"/>
          <w:numId w:val="1"/>
        </w:numPr>
        <w:spacing w:before="0" w:after="160" w:line="480" w:lineRule="auto"/>
        <w:rPr>
          <w:rFonts w:ascii="Times New Roman" w:eastAsia="Times New Roman" w:hAnsi="Times New Roman" w:cs="Times New Roman"/>
          <w:sz w:val="24"/>
          <w:szCs w:val="24"/>
        </w:rPr>
      </w:pPr>
      <w:r w:rsidRPr="001722A5">
        <w:rPr>
          <w:rFonts w:ascii="Times New Roman" w:eastAsia="Times New Roman" w:hAnsi="Times New Roman" w:cs="Times New Roman"/>
          <w:sz w:val="24"/>
          <w:szCs w:val="24"/>
        </w:rPr>
        <w:t xml:space="preserve">Cluster 3 </w:t>
      </w:r>
      <w:r w:rsidR="00CF522E">
        <w:rPr>
          <w:rFonts w:ascii="Times New Roman" w:eastAsia="Times New Roman" w:hAnsi="Times New Roman" w:cs="Times New Roman"/>
          <w:sz w:val="24"/>
          <w:szCs w:val="24"/>
        </w:rPr>
        <w:t xml:space="preserve">(n=13) </w:t>
      </w:r>
      <w:r w:rsidRPr="001722A5">
        <w:rPr>
          <w:rFonts w:ascii="Times New Roman" w:eastAsia="Times New Roman" w:hAnsi="Times New Roman" w:cs="Times New Roman"/>
          <w:sz w:val="24"/>
          <w:szCs w:val="24"/>
        </w:rPr>
        <w:t xml:space="preserve">- </w:t>
      </w:r>
      <w:r w:rsidR="00C66DBC">
        <w:rPr>
          <w:rFonts w:ascii="Times New Roman" w:eastAsia="Times New Roman" w:hAnsi="Times New Roman" w:cs="Times New Roman"/>
          <w:sz w:val="24"/>
          <w:szCs w:val="24"/>
        </w:rPr>
        <w:t xml:space="preserve">politically affiliated public servants, who </w:t>
      </w:r>
      <w:r w:rsidR="00C66DBC">
        <w:rPr>
          <w:rFonts w:ascii="Times New Roman" w:eastAsia="Times New Roman" w:hAnsi="Times New Roman" w:cs="Times New Roman"/>
          <w:sz w:val="24"/>
          <w:szCs w:val="24"/>
        </w:rPr>
        <w:t>manage to go to the private sector afterwards;</w:t>
      </w:r>
    </w:p>
    <w:p w:rsidR="001722A5" w:rsidRDefault="001722A5" w:rsidP="001722A5">
      <w:pPr>
        <w:pStyle w:val="PargrafodaLista"/>
        <w:numPr>
          <w:ilvl w:val="0"/>
          <w:numId w:val="1"/>
        </w:numPr>
        <w:spacing w:before="0" w:after="160" w:line="480" w:lineRule="auto"/>
        <w:rPr>
          <w:rFonts w:ascii="Times New Roman" w:eastAsia="Times New Roman" w:hAnsi="Times New Roman" w:cs="Times New Roman"/>
          <w:sz w:val="24"/>
          <w:szCs w:val="24"/>
        </w:rPr>
      </w:pPr>
      <w:r w:rsidRPr="001722A5">
        <w:rPr>
          <w:rFonts w:ascii="Times New Roman" w:eastAsia="Times New Roman" w:hAnsi="Times New Roman" w:cs="Times New Roman"/>
          <w:sz w:val="24"/>
          <w:szCs w:val="24"/>
        </w:rPr>
        <w:t xml:space="preserve">Cluster </w:t>
      </w:r>
      <w:r w:rsidR="00C66DBC">
        <w:rPr>
          <w:rFonts w:ascii="Times New Roman" w:eastAsia="Times New Roman" w:hAnsi="Times New Roman" w:cs="Times New Roman"/>
          <w:sz w:val="24"/>
          <w:szCs w:val="24"/>
        </w:rPr>
        <w:t>(33)</w:t>
      </w:r>
      <w:r w:rsidRPr="001722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722A5">
        <w:rPr>
          <w:rFonts w:ascii="Times New Roman" w:eastAsia="Times New Roman" w:hAnsi="Times New Roman" w:cs="Times New Roman"/>
          <w:sz w:val="24"/>
          <w:szCs w:val="24"/>
        </w:rPr>
        <w:t xml:space="preserve"> </w:t>
      </w:r>
      <w:r w:rsidR="00C66DBC">
        <w:rPr>
          <w:rFonts w:ascii="Times New Roman" w:eastAsia="Times New Roman" w:hAnsi="Times New Roman" w:cs="Times New Roman"/>
          <w:sz w:val="24"/>
          <w:szCs w:val="24"/>
        </w:rPr>
        <w:t xml:space="preserve">not </w:t>
      </w:r>
      <w:r w:rsidR="00C66DBC">
        <w:rPr>
          <w:rFonts w:ascii="Times New Roman" w:eastAsia="Times New Roman" w:hAnsi="Times New Roman" w:cs="Times New Roman"/>
          <w:sz w:val="24"/>
          <w:szCs w:val="24"/>
        </w:rPr>
        <w:t>politically affiliated public servants, who retur</w:t>
      </w:r>
      <w:r w:rsidR="00C66DBC">
        <w:rPr>
          <w:rFonts w:ascii="Times New Roman" w:eastAsia="Times New Roman" w:hAnsi="Times New Roman" w:cs="Times New Roman"/>
          <w:sz w:val="24"/>
          <w:szCs w:val="24"/>
        </w:rPr>
        <w:t>n to their positions</w:t>
      </w:r>
      <w:r w:rsidRPr="001722A5">
        <w:rPr>
          <w:rFonts w:ascii="Times New Roman" w:eastAsia="Times New Roman" w:hAnsi="Times New Roman" w:cs="Times New Roman"/>
          <w:sz w:val="24"/>
          <w:szCs w:val="24"/>
        </w:rPr>
        <w:t>.</w:t>
      </w:r>
    </w:p>
    <w:p w:rsidR="001722A5" w:rsidRPr="001722A5" w:rsidRDefault="00C66DBC" w:rsidP="001722A5">
      <w:pPr>
        <w:spacing w:before="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OMA analysis complements previous descriptive statistics, in the sense that it shows that most workers who manage to make a transition to the private sector after a term in the regulatory board come from previous public service. Moreover, politics seem </w:t>
      </w:r>
      <w:r>
        <w:rPr>
          <w:rFonts w:ascii="Times New Roman" w:eastAsia="Times New Roman" w:hAnsi="Times New Roman" w:cs="Times New Roman"/>
          <w:sz w:val="24"/>
          <w:szCs w:val="24"/>
        </w:rPr>
        <w:lastRenderedPageBreak/>
        <w:t>not to help them in this transition: only 13 (</w:t>
      </w:r>
      <w:proofErr w:type="spellStart"/>
      <w:r>
        <w:rPr>
          <w:rFonts w:ascii="Times New Roman" w:eastAsia="Times New Roman" w:hAnsi="Times New Roman" w:cs="Times New Roman"/>
          <w:sz w:val="24"/>
          <w:szCs w:val="24"/>
        </w:rPr>
        <w:t>aprox</w:t>
      </w:r>
      <w:proofErr w:type="spellEnd"/>
      <w:r>
        <w:rPr>
          <w:rFonts w:ascii="Times New Roman" w:eastAsia="Times New Roman" w:hAnsi="Times New Roman" w:cs="Times New Roman"/>
          <w:sz w:val="24"/>
          <w:szCs w:val="24"/>
        </w:rPr>
        <w:t xml:space="preserve">. 11%) of regulators make the transition from public to private sector </w:t>
      </w:r>
      <w:proofErr w:type="spellStart"/>
      <w:r>
        <w:rPr>
          <w:rFonts w:ascii="Times New Roman" w:eastAsia="Times New Roman" w:hAnsi="Times New Roman" w:cs="Times New Roman"/>
          <w:sz w:val="24"/>
          <w:szCs w:val="24"/>
        </w:rPr>
        <w:t>bein</w:t>
      </w:r>
      <w:proofErr w:type="spellEnd"/>
      <w:r>
        <w:rPr>
          <w:rFonts w:ascii="Times New Roman" w:eastAsia="Times New Roman" w:hAnsi="Times New Roman" w:cs="Times New Roman"/>
          <w:sz w:val="24"/>
          <w:szCs w:val="24"/>
        </w:rPr>
        <w:t xml:space="preserve"> politically affiliated.</w:t>
      </w:r>
    </w:p>
    <w:p w:rsidR="000414EB" w:rsidRDefault="000414EB" w:rsidP="000414E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PROBIT ANALYSIS</w:t>
      </w:r>
    </w:p>
    <w:p w:rsidR="000414EB" w:rsidRDefault="000414EB" w:rsidP="000414E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sz w:val="24"/>
          <w:szCs w:val="24"/>
        </w:rPr>
      </w:pPr>
    </w:p>
    <w:p w:rsidR="00413AB5" w:rsidRDefault="00413AB5">
      <w:pPr>
        <w:spacing w:before="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test explicitly the hypothesis whether having previous experience in the public sector helps or hampers an afterwards career in the private </w:t>
      </w:r>
      <w:proofErr w:type="gramStart"/>
      <w:r>
        <w:rPr>
          <w:rFonts w:ascii="Times New Roman" w:eastAsia="Times New Roman" w:hAnsi="Times New Roman" w:cs="Times New Roman"/>
          <w:sz w:val="24"/>
          <w:szCs w:val="24"/>
        </w:rPr>
        <w:t>sector,</w:t>
      </w:r>
      <w:proofErr w:type="gramEnd"/>
      <w:r>
        <w:rPr>
          <w:rFonts w:ascii="Times New Roman" w:eastAsia="Times New Roman" w:hAnsi="Times New Roman" w:cs="Times New Roman"/>
          <w:sz w:val="24"/>
          <w:szCs w:val="24"/>
        </w:rPr>
        <w:t xml:space="preserve"> the same is done for political affiliation. </w:t>
      </w:r>
    </w:p>
    <w:p w:rsidR="00413AB5" w:rsidRDefault="00413AB5">
      <w:pPr>
        <w:spacing w:before="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is in table 3.</w:t>
      </w:r>
      <w:r w:rsidR="006C5D7A">
        <w:rPr>
          <w:rFonts w:ascii="Times New Roman" w:eastAsia="Times New Roman" w:hAnsi="Times New Roman" w:cs="Times New Roman"/>
          <w:sz w:val="24"/>
          <w:szCs w:val="24"/>
        </w:rPr>
        <w:t xml:space="preserve"> Being a former public servant raises the probability of </w:t>
      </w:r>
      <w:r w:rsidR="00A01637">
        <w:rPr>
          <w:rFonts w:ascii="Times New Roman" w:eastAsia="Times New Roman" w:hAnsi="Times New Roman" w:cs="Times New Roman"/>
          <w:sz w:val="24"/>
          <w:szCs w:val="24"/>
        </w:rPr>
        <w:t xml:space="preserve">working in the private sector afterwards. In fact, former public servants have 2.75 more chances to work at the private sector than former private workers do. Politics seems not to affect the after-agency pattern, since one cannot reject the null hypothesis that its coefficient is zero. </w:t>
      </w:r>
    </w:p>
    <w:p w:rsidR="00413AB5" w:rsidRDefault="00413AB5" w:rsidP="00413AB5">
      <w:pPr>
        <w:spacing w:before="0" w:after="0" w:line="48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Table 3</w:t>
      </w:r>
      <w:r w:rsidRPr="00C044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Probit</w:t>
      </w:r>
      <w:proofErr w:type="spellEnd"/>
      <w:r>
        <w:rPr>
          <w:rFonts w:ascii="Times New Roman" w:eastAsia="Times New Roman" w:hAnsi="Times New Roman" w:cs="Times New Roman"/>
          <w:sz w:val="20"/>
          <w:szCs w:val="20"/>
        </w:rPr>
        <w:t xml:space="preserve"> model (dependent variable: at the private sector after a term as a regulator)</w:t>
      </w: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413AB5" w:rsidRPr="00413AB5" w:rsidTr="00413AB5">
        <w:trPr>
          <w:trHeight w:val="300"/>
          <w:jc w:val="center"/>
        </w:trPr>
        <w:tc>
          <w:tcPr>
            <w:tcW w:w="2379" w:type="dxa"/>
            <w:shd w:val="clear" w:color="auto" w:fill="auto"/>
            <w:noWrap/>
            <w:vAlign w:val="bottom"/>
            <w:hideMark/>
          </w:tcPr>
          <w:p w:rsidR="00413AB5" w:rsidRPr="00413AB5" w:rsidRDefault="00413AB5" w:rsidP="00413AB5">
            <w:pPr>
              <w:spacing w:before="0" w:after="0" w:line="240" w:lineRule="auto"/>
              <w:ind w:firstLine="0"/>
              <w:jc w:val="left"/>
              <w:rPr>
                <w:rFonts w:ascii="Times New Roman" w:eastAsia="Times New Roman" w:hAnsi="Times New Roman" w:cs="Times New Roman"/>
                <w:sz w:val="20"/>
                <w:szCs w:val="20"/>
              </w:rPr>
            </w:pPr>
          </w:p>
        </w:tc>
        <w:tc>
          <w:tcPr>
            <w:tcW w:w="940" w:type="dxa"/>
            <w:shd w:val="clear" w:color="auto" w:fill="auto"/>
            <w:noWrap/>
            <w:vAlign w:val="bottom"/>
            <w:hideMark/>
          </w:tcPr>
          <w:p w:rsidR="00413AB5" w:rsidRPr="00413AB5" w:rsidRDefault="00413AB5" w:rsidP="00413AB5">
            <w:pPr>
              <w:spacing w:before="0" w:after="0" w:line="240" w:lineRule="auto"/>
              <w:ind w:firstLine="0"/>
              <w:jc w:val="left"/>
              <w:rPr>
                <w:rFonts w:ascii="Times New Roman" w:eastAsia="Times New Roman" w:hAnsi="Times New Roman" w:cs="Times New Roman"/>
                <w:color w:val="000000"/>
                <w:sz w:val="20"/>
                <w:szCs w:val="20"/>
              </w:rPr>
            </w:pPr>
            <w:r w:rsidRPr="00413AB5">
              <w:rPr>
                <w:rFonts w:ascii="Times New Roman" w:eastAsia="Times New Roman" w:hAnsi="Times New Roman" w:cs="Times New Roman"/>
                <w:color w:val="000000"/>
                <w:sz w:val="20"/>
                <w:szCs w:val="20"/>
              </w:rPr>
              <w:t>Estimate</w:t>
            </w:r>
          </w:p>
        </w:tc>
        <w:tc>
          <w:tcPr>
            <w:tcW w:w="1029" w:type="dxa"/>
            <w:shd w:val="clear" w:color="auto" w:fill="auto"/>
            <w:noWrap/>
            <w:vAlign w:val="bottom"/>
            <w:hideMark/>
          </w:tcPr>
          <w:p w:rsidR="00413AB5" w:rsidRPr="00413AB5" w:rsidRDefault="00413AB5" w:rsidP="00413AB5">
            <w:pPr>
              <w:spacing w:before="0" w:after="0" w:line="240" w:lineRule="auto"/>
              <w:ind w:firstLine="0"/>
              <w:jc w:val="left"/>
              <w:rPr>
                <w:rFonts w:ascii="Times New Roman" w:eastAsia="Times New Roman" w:hAnsi="Times New Roman" w:cs="Times New Roman"/>
                <w:color w:val="000000"/>
                <w:sz w:val="20"/>
                <w:szCs w:val="20"/>
              </w:rPr>
            </w:pPr>
            <w:r w:rsidRPr="00413AB5">
              <w:rPr>
                <w:rFonts w:ascii="Times New Roman" w:eastAsia="Times New Roman" w:hAnsi="Times New Roman" w:cs="Times New Roman"/>
                <w:color w:val="000000"/>
                <w:sz w:val="20"/>
                <w:szCs w:val="20"/>
              </w:rPr>
              <w:t>Std. Error</w:t>
            </w:r>
          </w:p>
        </w:tc>
        <w:tc>
          <w:tcPr>
            <w:tcW w:w="812" w:type="dxa"/>
            <w:shd w:val="clear" w:color="auto" w:fill="auto"/>
            <w:noWrap/>
            <w:vAlign w:val="bottom"/>
            <w:hideMark/>
          </w:tcPr>
          <w:p w:rsidR="00413AB5" w:rsidRPr="00413AB5" w:rsidRDefault="00413AB5" w:rsidP="00413AB5">
            <w:pPr>
              <w:spacing w:before="0" w:after="0" w:line="240" w:lineRule="auto"/>
              <w:ind w:firstLine="0"/>
              <w:jc w:val="left"/>
              <w:rPr>
                <w:rFonts w:ascii="Times New Roman" w:eastAsia="Times New Roman" w:hAnsi="Times New Roman" w:cs="Times New Roman"/>
                <w:color w:val="000000"/>
                <w:sz w:val="20"/>
                <w:szCs w:val="20"/>
              </w:rPr>
            </w:pPr>
            <w:r w:rsidRPr="00413AB5">
              <w:rPr>
                <w:rFonts w:ascii="Times New Roman" w:eastAsia="Times New Roman" w:hAnsi="Times New Roman" w:cs="Times New Roman"/>
                <w:color w:val="000000"/>
                <w:sz w:val="20"/>
                <w:szCs w:val="20"/>
              </w:rPr>
              <w:t>z value</w:t>
            </w:r>
          </w:p>
        </w:tc>
        <w:tc>
          <w:tcPr>
            <w:tcW w:w="833" w:type="dxa"/>
            <w:shd w:val="clear" w:color="auto" w:fill="auto"/>
            <w:noWrap/>
            <w:vAlign w:val="bottom"/>
            <w:hideMark/>
          </w:tcPr>
          <w:p w:rsidR="00413AB5" w:rsidRPr="00413AB5" w:rsidRDefault="00413AB5" w:rsidP="00413AB5">
            <w:pPr>
              <w:spacing w:before="0" w:after="0" w:line="240" w:lineRule="auto"/>
              <w:ind w:firstLine="0"/>
              <w:jc w:val="left"/>
              <w:rPr>
                <w:rFonts w:ascii="Times New Roman" w:eastAsia="Times New Roman" w:hAnsi="Times New Roman" w:cs="Times New Roman"/>
                <w:color w:val="000000"/>
                <w:sz w:val="20"/>
                <w:szCs w:val="20"/>
                <w:lang w:val="pt-BR"/>
              </w:rPr>
            </w:pPr>
            <w:proofErr w:type="spellStart"/>
            <w:r w:rsidRPr="00413AB5">
              <w:rPr>
                <w:rFonts w:ascii="Times New Roman" w:eastAsia="Times New Roman" w:hAnsi="Times New Roman" w:cs="Times New Roman"/>
                <w:color w:val="000000"/>
                <w:sz w:val="20"/>
                <w:szCs w:val="20"/>
              </w:rPr>
              <w:t>Pr</w:t>
            </w:r>
            <w:proofErr w:type="spellEnd"/>
            <w:r w:rsidRPr="00413AB5">
              <w:rPr>
                <w:rFonts w:ascii="Times New Roman" w:eastAsia="Times New Roman" w:hAnsi="Times New Roman" w:cs="Times New Roman"/>
                <w:color w:val="000000"/>
                <w:sz w:val="20"/>
                <w:szCs w:val="20"/>
              </w:rPr>
              <w:t>(&gt;</w:t>
            </w:r>
            <w:r w:rsidRPr="00413AB5">
              <w:rPr>
                <w:rFonts w:ascii="Times New Roman" w:eastAsia="Times New Roman" w:hAnsi="Times New Roman" w:cs="Times New Roman"/>
                <w:color w:val="000000"/>
                <w:sz w:val="20"/>
                <w:szCs w:val="20"/>
                <w:lang w:val="pt-BR"/>
              </w:rPr>
              <w:t>|z|)</w:t>
            </w:r>
          </w:p>
        </w:tc>
      </w:tr>
      <w:tr w:rsidR="00A01637" w:rsidRPr="00413AB5" w:rsidTr="00A01637">
        <w:trPr>
          <w:trHeight w:val="300"/>
          <w:jc w:val="center"/>
        </w:trPr>
        <w:tc>
          <w:tcPr>
            <w:tcW w:w="2379" w:type="dxa"/>
            <w:shd w:val="clear" w:color="auto" w:fill="auto"/>
            <w:noWrap/>
            <w:vAlign w:val="bottom"/>
            <w:hideMark/>
          </w:tcPr>
          <w:p w:rsidR="00A01637" w:rsidRPr="00413AB5" w:rsidRDefault="00A01637" w:rsidP="00A01637">
            <w:pPr>
              <w:spacing w:before="0" w:after="0" w:line="240" w:lineRule="auto"/>
              <w:ind w:firstLine="0"/>
              <w:jc w:val="left"/>
              <w:rPr>
                <w:rFonts w:ascii="Times New Roman" w:eastAsia="Times New Roman" w:hAnsi="Times New Roman" w:cs="Times New Roman"/>
                <w:color w:val="000000"/>
                <w:sz w:val="20"/>
                <w:szCs w:val="20"/>
                <w:lang w:val="pt-BR"/>
              </w:rPr>
            </w:pPr>
            <w:r w:rsidRPr="00413AB5">
              <w:rPr>
                <w:rFonts w:ascii="Times New Roman" w:eastAsia="Times New Roman" w:hAnsi="Times New Roman" w:cs="Times New Roman"/>
                <w:color w:val="000000"/>
                <w:sz w:val="20"/>
                <w:szCs w:val="20"/>
                <w:lang w:val="pt-BR"/>
              </w:rPr>
              <w:t>(</w:t>
            </w:r>
            <w:proofErr w:type="spellStart"/>
            <w:r w:rsidRPr="00413AB5">
              <w:rPr>
                <w:rFonts w:ascii="Times New Roman" w:eastAsia="Times New Roman" w:hAnsi="Times New Roman" w:cs="Times New Roman"/>
                <w:color w:val="000000"/>
                <w:sz w:val="20"/>
                <w:szCs w:val="20"/>
                <w:lang w:val="pt-BR"/>
              </w:rPr>
              <w:t>Intercept</w:t>
            </w:r>
            <w:proofErr w:type="spellEnd"/>
            <w:r w:rsidRPr="00413AB5">
              <w:rPr>
                <w:rFonts w:ascii="Times New Roman" w:eastAsia="Times New Roman" w:hAnsi="Times New Roman" w:cs="Times New Roman"/>
                <w:color w:val="000000"/>
                <w:sz w:val="20"/>
                <w:szCs w:val="20"/>
                <w:lang w:val="pt-BR"/>
              </w:rPr>
              <w:t>)</w:t>
            </w:r>
          </w:p>
        </w:tc>
        <w:tc>
          <w:tcPr>
            <w:tcW w:w="940"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975</w:t>
            </w:r>
          </w:p>
        </w:tc>
        <w:tc>
          <w:tcPr>
            <w:tcW w:w="1029"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464</w:t>
            </w:r>
          </w:p>
        </w:tc>
        <w:tc>
          <w:tcPr>
            <w:tcW w:w="812"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-2</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103</w:t>
            </w:r>
          </w:p>
        </w:tc>
        <w:tc>
          <w:tcPr>
            <w:tcW w:w="833"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036</w:t>
            </w:r>
          </w:p>
        </w:tc>
      </w:tr>
      <w:tr w:rsidR="00A01637" w:rsidRPr="00413AB5" w:rsidTr="00A01637">
        <w:trPr>
          <w:trHeight w:val="300"/>
          <w:jc w:val="center"/>
        </w:trPr>
        <w:tc>
          <w:tcPr>
            <w:tcW w:w="2379" w:type="dxa"/>
            <w:shd w:val="clear" w:color="auto" w:fill="auto"/>
            <w:noWrap/>
            <w:vAlign w:val="bottom"/>
            <w:hideMark/>
          </w:tcPr>
          <w:p w:rsidR="00A01637" w:rsidRPr="00413AB5" w:rsidRDefault="00A01637" w:rsidP="00A01637">
            <w:pPr>
              <w:spacing w:before="0" w:after="0" w:line="240" w:lineRule="auto"/>
              <w:ind w:firstLine="0"/>
              <w:jc w:val="left"/>
              <w:rPr>
                <w:rFonts w:ascii="Times New Roman" w:eastAsia="Times New Roman" w:hAnsi="Times New Roman" w:cs="Times New Roman"/>
                <w:color w:val="000000"/>
                <w:sz w:val="20"/>
                <w:szCs w:val="20"/>
                <w:lang w:val="pt-BR"/>
              </w:rPr>
            </w:pPr>
            <w:proofErr w:type="spellStart"/>
            <w:r>
              <w:rPr>
                <w:rFonts w:ascii="Times New Roman" w:eastAsia="Times New Roman" w:hAnsi="Times New Roman" w:cs="Times New Roman"/>
                <w:color w:val="000000"/>
                <w:sz w:val="20"/>
                <w:szCs w:val="20"/>
                <w:lang w:val="pt-BR"/>
              </w:rPr>
              <w:t>Previously</w:t>
            </w:r>
            <w:proofErr w:type="spellEnd"/>
            <w:r>
              <w:rPr>
                <w:rFonts w:ascii="Times New Roman" w:eastAsia="Times New Roman" w:hAnsi="Times New Roman" w:cs="Times New Roman"/>
                <w:color w:val="000000"/>
                <w:sz w:val="20"/>
                <w:szCs w:val="20"/>
                <w:lang w:val="pt-BR"/>
              </w:rPr>
              <w:t xml:space="preserve"> in </w:t>
            </w:r>
            <w:proofErr w:type="spellStart"/>
            <w:r>
              <w:rPr>
                <w:rFonts w:ascii="Times New Roman" w:eastAsia="Times New Roman" w:hAnsi="Times New Roman" w:cs="Times New Roman"/>
                <w:color w:val="000000"/>
                <w:sz w:val="20"/>
                <w:szCs w:val="20"/>
                <w:lang w:val="pt-BR"/>
              </w:rPr>
              <w:t>public</w:t>
            </w:r>
            <w:proofErr w:type="spellEnd"/>
            <w:r>
              <w:rPr>
                <w:rFonts w:ascii="Times New Roman" w:eastAsia="Times New Roman" w:hAnsi="Times New Roman" w:cs="Times New Roman"/>
                <w:color w:val="000000"/>
                <w:sz w:val="20"/>
                <w:szCs w:val="20"/>
                <w:lang w:val="pt-BR"/>
              </w:rPr>
              <w:t xml:space="preserve"> sector</w:t>
            </w:r>
          </w:p>
        </w:tc>
        <w:tc>
          <w:tcPr>
            <w:tcW w:w="940"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1</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012</w:t>
            </w:r>
          </w:p>
        </w:tc>
        <w:tc>
          <w:tcPr>
            <w:tcW w:w="1029"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497</w:t>
            </w:r>
          </w:p>
        </w:tc>
        <w:tc>
          <w:tcPr>
            <w:tcW w:w="812"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2</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038</w:t>
            </w:r>
          </w:p>
        </w:tc>
        <w:tc>
          <w:tcPr>
            <w:tcW w:w="833"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042</w:t>
            </w:r>
          </w:p>
        </w:tc>
      </w:tr>
      <w:tr w:rsidR="00A01637" w:rsidRPr="00413AB5" w:rsidTr="00A01637">
        <w:trPr>
          <w:trHeight w:val="300"/>
          <w:jc w:val="center"/>
        </w:trPr>
        <w:tc>
          <w:tcPr>
            <w:tcW w:w="2379" w:type="dxa"/>
            <w:shd w:val="clear" w:color="auto" w:fill="auto"/>
            <w:noWrap/>
            <w:vAlign w:val="bottom"/>
            <w:hideMark/>
          </w:tcPr>
          <w:p w:rsidR="00A01637" w:rsidRPr="00413AB5" w:rsidRDefault="00A01637" w:rsidP="00A01637">
            <w:pPr>
              <w:spacing w:before="0" w:after="0" w:line="240" w:lineRule="auto"/>
              <w:ind w:firstLine="0"/>
              <w:jc w:val="left"/>
              <w:rPr>
                <w:rFonts w:ascii="Times New Roman" w:eastAsia="Times New Roman" w:hAnsi="Times New Roman" w:cs="Times New Roman"/>
                <w:color w:val="000000"/>
                <w:sz w:val="20"/>
                <w:szCs w:val="20"/>
                <w:lang w:val="pt-BR"/>
              </w:rPr>
            </w:pPr>
            <w:proofErr w:type="spellStart"/>
            <w:r>
              <w:rPr>
                <w:rFonts w:ascii="Times New Roman" w:eastAsia="Times New Roman" w:hAnsi="Times New Roman" w:cs="Times New Roman"/>
                <w:color w:val="000000"/>
                <w:sz w:val="20"/>
                <w:szCs w:val="20"/>
                <w:lang w:val="pt-BR"/>
              </w:rPr>
              <w:t>Politically</w:t>
            </w:r>
            <w:proofErr w:type="spellEnd"/>
            <w:r>
              <w:rPr>
                <w:rFonts w:ascii="Times New Roman" w:eastAsia="Times New Roman" w:hAnsi="Times New Roman" w:cs="Times New Roman"/>
                <w:color w:val="000000"/>
                <w:sz w:val="20"/>
                <w:szCs w:val="20"/>
                <w:lang w:val="pt-BR"/>
              </w:rPr>
              <w:t xml:space="preserve"> </w:t>
            </w:r>
            <w:proofErr w:type="spellStart"/>
            <w:r>
              <w:rPr>
                <w:rFonts w:ascii="Times New Roman" w:eastAsia="Times New Roman" w:hAnsi="Times New Roman" w:cs="Times New Roman"/>
                <w:color w:val="000000"/>
                <w:sz w:val="20"/>
                <w:szCs w:val="20"/>
                <w:lang w:val="pt-BR"/>
              </w:rPr>
              <w:t>affiliated</w:t>
            </w:r>
            <w:proofErr w:type="spellEnd"/>
          </w:p>
        </w:tc>
        <w:tc>
          <w:tcPr>
            <w:tcW w:w="940"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333</w:t>
            </w:r>
          </w:p>
        </w:tc>
        <w:tc>
          <w:tcPr>
            <w:tcW w:w="1029"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404</w:t>
            </w:r>
          </w:p>
        </w:tc>
        <w:tc>
          <w:tcPr>
            <w:tcW w:w="812"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824</w:t>
            </w:r>
          </w:p>
        </w:tc>
        <w:tc>
          <w:tcPr>
            <w:tcW w:w="833" w:type="dxa"/>
            <w:shd w:val="clear" w:color="auto" w:fill="auto"/>
            <w:noWrap/>
            <w:vAlign w:val="bottom"/>
          </w:tcPr>
          <w:p w:rsidR="00A01637" w:rsidRPr="00A01637" w:rsidRDefault="00A01637" w:rsidP="00A01637">
            <w:pPr>
              <w:ind w:firstLine="0"/>
              <w:jc w:val="center"/>
              <w:rPr>
                <w:rFonts w:ascii="Times New Roman" w:hAnsi="Times New Roman" w:cs="Times New Roman"/>
                <w:color w:val="000000"/>
                <w:sz w:val="20"/>
                <w:szCs w:val="20"/>
              </w:rPr>
            </w:pPr>
            <w:r w:rsidRPr="00A01637">
              <w:rPr>
                <w:rFonts w:ascii="Times New Roman" w:hAnsi="Times New Roman" w:cs="Times New Roman"/>
                <w:color w:val="000000"/>
                <w:sz w:val="20"/>
                <w:szCs w:val="20"/>
              </w:rPr>
              <w:t>0</w:t>
            </w:r>
            <w:r>
              <w:rPr>
                <w:rFonts w:ascii="Times New Roman" w:hAnsi="Times New Roman" w:cs="Times New Roman"/>
                <w:color w:val="000000"/>
                <w:sz w:val="20"/>
                <w:szCs w:val="20"/>
              </w:rPr>
              <w:t>.</w:t>
            </w:r>
            <w:r w:rsidRPr="00A01637">
              <w:rPr>
                <w:rFonts w:ascii="Times New Roman" w:hAnsi="Times New Roman" w:cs="Times New Roman"/>
                <w:color w:val="000000"/>
                <w:sz w:val="20"/>
                <w:szCs w:val="20"/>
              </w:rPr>
              <w:t>410</w:t>
            </w:r>
          </w:p>
        </w:tc>
      </w:tr>
      <w:tr w:rsidR="00413AB5" w:rsidRPr="00413AB5" w:rsidTr="00413AB5">
        <w:trPr>
          <w:trHeight w:val="300"/>
          <w:jc w:val="center"/>
        </w:trPr>
        <w:tc>
          <w:tcPr>
            <w:tcW w:w="2379" w:type="dxa"/>
            <w:shd w:val="clear" w:color="auto" w:fill="auto"/>
            <w:noWrap/>
            <w:vAlign w:val="bottom"/>
          </w:tcPr>
          <w:p w:rsidR="00413AB5" w:rsidRDefault="00413AB5" w:rsidP="00413AB5">
            <w:pPr>
              <w:spacing w:before="0" w:after="0" w:line="240" w:lineRule="auto"/>
              <w:ind w:firstLine="0"/>
              <w:jc w:val="left"/>
              <w:rPr>
                <w:rFonts w:ascii="Times New Roman" w:eastAsia="Times New Roman" w:hAnsi="Times New Roman" w:cs="Times New Roman"/>
                <w:color w:val="000000"/>
                <w:sz w:val="20"/>
                <w:szCs w:val="20"/>
                <w:lang w:val="pt-BR"/>
              </w:rPr>
            </w:pPr>
            <w:r>
              <w:rPr>
                <w:rFonts w:ascii="Times New Roman" w:eastAsia="Times New Roman" w:hAnsi="Times New Roman" w:cs="Times New Roman"/>
                <w:color w:val="000000"/>
                <w:sz w:val="20"/>
                <w:szCs w:val="20"/>
                <w:lang w:val="pt-BR"/>
              </w:rPr>
              <w:t>AIC</w:t>
            </w:r>
          </w:p>
        </w:tc>
        <w:tc>
          <w:tcPr>
            <w:tcW w:w="940" w:type="dxa"/>
            <w:shd w:val="clear" w:color="auto" w:fill="auto"/>
            <w:noWrap/>
            <w:vAlign w:val="bottom"/>
          </w:tcPr>
          <w:p w:rsidR="00413AB5" w:rsidRPr="00413AB5" w:rsidRDefault="00413AB5" w:rsidP="00A01637">
            <w:pPr>
              <w:spacing w:before="0" w:after="0" w:line="240" w:lineRule="auto"/>
              <w:ind w:firstLine="0"/>
              <w:jc w:val="center"/>
              <w:rPr>
                <w:rFonts w:ascii="Times New Roman" w:eastAsia="Times New Roman" w:hAnsi="Times New Roman" w:cs="Times New Roman"/>
                <w:color w:val="000000"/>
                <w:sz w:val="20"/>
                <w:szCs w:val="20"/>
                <w:lang w:val="pt-BR"/>
              </w:rPr>
            </w:pPr>
            <w:r w:rsidRPr="00413AB5">
              <w:rPr>
                <w:rFonts w:ascii="Times New Roman" w:eastAsia="Times New Roman" w:hAnsi="Times New Roman" w:cs="Times New Roman"/>
                <w:color w:val="000000"/>
                <w:sz w:val="20"/>
                <w:szCs w:val="20"/>
                <w:lang w:val="pt-BR"/>
              </w:rPr>
              <w:t>162.69</w:t>
            </w:r>
          </w:p>
        </w:tc>
        <w:tc>
          <w:tcPr>
            <w:tcW w:w="1029" w:type="dxa"/>
            <w:shd w:val="clear" w:color="auto" w:fill="auto"/>
            <w:noWrap/>
            <w:vAlign w:val="bottom"/>
          </w:tcPr>
          <w:p w:rsidR="00413AB5" w:rsidRPr="00413AB5" w:rsidRDefault="00413AB5" w:rsidP="00413AB5">
            <w:pPr>
              <w:spacing w:before="0" w:after="0" w:line="240" w:lineRule="auto"/>
              <w:ind w:firstLine="0"/>
              <w:jc w:val="right"/>
              <w:rPr>
                <w:rFonts w:ascii="Times New Roman" w:eastAsia="Times New Roman" w:hAnsi="Times New Roman" w:cs="Times New Roman"/>
                <w:color w:val="000000"/>
                <w:sz w:val="20"/>
                <w:szCs w:val="20"/>
                <w:lang w:val="pt-BR"/>
              </w:rPr>
            </w:pPr>
          </w:p>
        </w:tc>
        <w:tc>
          <w:tcPr>
            <w:tcW w:w="812" w:type="dxa"/>
            <w:shd w:val="clear" w:color="auto" w:fill="auto"/>
            <w:noWrap/>
            <w:vAlign w:val="bottom"/>
          </w:tcPr>
          <w:p w:rsidR="00413AB5" w:rsidRPr="00413AB5" w:rsidRDefault="00413AB5" w:rsidP="00413AB5">
            <w:pPr>
              <w:spacing w:before="0" w:after="0" w:line="240" w:lineRule="auto"/>
              <w:ind w:firstLine="0"/>
              <w:jc w:val="right"/>
              <w:rPr>
                <w:rFonts w:ascii="Times New Roman" w:eastAsia="Times New Roman" w:hAnsi="Times New Roman" w:cs="Times New Roman"/>
                <w:color w:val="000000"/>
                <w:sz w:val="20"/>
                <w:szCs w:val="20"/>
                <w:lang w:val="pt-BR"/>
              </w:rPr>
            </w:pPr>
          </w:p>
        </w:tc>
        <w:tc>
          <w:tcPr>
            <w:tcW w:w="833" w:type="dxa"/>
            <w:shd w:val="clear" w:color="auto" w:fill="auto"/>
            <w:noWrap/>
            <w:vAlign w:val="bottom"/>
          </w:tcPr>
          <w:p w:rsidR="00413AB5" w:rsidRPr="00413AB5" w:rsidRDefault="00413AB5" w:rsidP="00413AB5">
            <w:pPr>
              <w:spacing w:before="0" w:after="0" w:line="240" w:lineRule="auto"/>
              <w:ind w:firstLine="0"/>
              <w:jc w:val="right"/>
              <w:rPr>
                <w:rFonts w:ascii="Times New Roman" w:eastAsia="Times New Roman" w:hAnsi="Times New Roman" w:cs="Times New Roman"/>
                <w:color w:val="000000"/>
                <w:sz w:val="20"/>
                <w:szCs w:val="20"/>
                <w:lang w:val="pt-BR"/>
              </w:rPr>
            </w:pPr>
          </w:p>
        </w:tc>
      </w:tr>
      <w:tr w:rsidR="00413AB5" w:rsidRPr="00413AB5" w:rsidTr="00413AB5">
        <w:trPr>
          <w:trHeight w:val="300"/>
          <w:jc w:val="center"/>
        </w:trPr>
        <w:tc>
          <w:tcPr>
            <w:tcW w:w="2379" w:type="dxa"/>
            <w:shd w:val="clear" w:color="auto" w:fill="auto"/>
            <w:noWrap/>
            <w:vAlign w:val="bottom"/>
          </w:tcPr>
          <w:p w:rsidR="00413AB5" w:rsidRDefault="00413AB5" w:rsidP="00413AB5">
            <w:pPr>
              <w:spacing w:before="0" w:after="0" w:line="240" w:lineRule="auto"/>
              <w:ind w:firstLine="0"/>
              <w:jc w:val="left"/>
              <w:rPr>
                <w:rFonts w:ascii="Times New Roman" w:eastAsia="Times New Roman" w:hAnsi="Times New Roman" w:cs="Times New Roman"/>
                <w:color w:val="000000"/>
                <w:sz w:val="20"/>
                <w:szCs w:val="20"/>
                <w:lang w:val="pt-BR"/>
              </w:rPr>
            </w:pPr>
            <w:r>
              <w:rPr>
                <w:rFonts w:ascii="Times New Roman" w:eastAsia="Times New Roman" w:hAnsi="Times New Roman" w:cs="Times New Roman"/>
                <w:color w:val="000000"/>
                <w:sz w:val="20"/>
                <w:szCs w:val="20"/>
                <w:lang w:val="pt-BR"/>
              </w:rPr>
              <w:t>DF</w:t>
            </w:r>
          </w:p>
        </w:tc>
        <w:tc>
          <w:tcPr>
            <w:tcW w:w="940" w:type="dxa"/>
            <w:shd w:val="clear" w:color="auto" w:fill="auto"/>
            <w:noWrap/>
            <w:vAlign w:val="bottom"/>
          </w:tcPr>
          <w:p w:rsidR="00413AB5" w:rsidRPr="00413AB5" w:rsidRDefault="00413AB5" w:rsidP="00A01637">
            <w:pPr>
              <w:spacing w:before="0" w:after="0" w:line="240" w:lineRule="auto"/>
              <w:ind w:firstLine="0"/>
              <w:jc w:val="center"/>
              <w:rPr>
                <w:rFonts w:ascii="Times New Roman" w:eastAsia="Times New Roman" w:hAnsi="Times New Roman" w:cs="Times New Roman"/>
                <w:color w:val="000000"/>
                <w:sz w:val="20"/>
                <w:szCs w:val="20"/>
                <w:lang w:val="pt-BR"/>
              </w:rPr>
            </w:pPr>
            <w:r>
              <w:rPr>
                <w:rFonts w:ascii="Times New Roman" w:eastAsia="Times New Roman" w:hAnsi="Times New Roman" w:cs="Times New Roman"/>
                <w:color w:val="000000"/>
                <w:sz w:val="20"/>
                <w:szCs w:val="20"/>
                <w:lang w:val="pt-BR"/>
              </w:rPr>
              <w:t>114</w:t>
            </w:r>
          </w:p>
        </w:tc>
        <w:tc>
          <w:tcPr>
            <w:tcW w:w="1029" w:type="dxa"/>
            <w:shd w:val="clear" w:color="auto" w:fill="auto"/>
            <w:noWrap/>
            <w:vAlign w:val="bottom"/>
          </w:tcPr>
          <w:p w:rsidR="00413AB5" w:rsidRPr="00413AB5" w:rsidRDefault="00413AB5" w:rsidP="00413AB5">
            <w:pPr>
              <w:spacing w:before="0" w:after="0" w:line="240" w:lineRule="auto"/>
              <w:ind w:firstLine="0"/>
              <w:jc w:val="right"/>
              <w:rPr>
                <w:rFonts w:ascii="Times New Roman" w:eastAsia="Times New Roman" w:hAnsi="Times New Roman" w:cs="Times New Roman"/>
                <w:color w:val="000000"/>
                <w:sz w:val="20"/>
                <w:szCs w:val="20"/>
                <w:lang w:val="pt-BR"/>
              </w:rPr>
            </w:pPr>
          </w:p>
        </w:tc>
        <w:tc>
          <w:tcPr>
            <w:tcW w:w="812" w:type="dxa"/>
            <w:shd w:val="clear" w:color="auto" w:fill="auto"/>
            <w:noWrap/>
            <w:vAlign w:val="bottom"/>
          </w:tcPr>
          <w:p w:rsidR="00413AB5" w:rsidRPr="00413AB5" w:rsidRDefault="00413AB5" w:rsidP="00413AB5">
            <w:pPr>
              <w:spacing w:before="0" w:after="0" w:line="240" w:lineRule="auto"/>
              <w:ind w:firstLine="0"/>
              <w:jc w:val="right"/>
              <w:rPr>
                <w:rFonts w:ascii="Times New Roman" w:eastAsia="Times New Roman" w:hAnsi="Times New Roman" w:cs="Times New Roman"/>
                <w:color w:val="000000"/>
                <w:sz w:val="20"/>
                <w:szCs w:val="20"/>
                <w:lang w:val="pt-BR"/>
              </w:rPr>
            </w:pPr>
          </w:p>
        </w:tc>
        <w:tc>
          <w:tcPr>
            <w:tcW w:w="833" w:type="dxa"/>
            <w:shd w:val="clear" w:color="auto" w:fill="auto"/>
            <w:noWrap/>
            <w:vAlign w:val="bottom"/>
          </w:tcPr>
          <w:p w:rsidR="00413AB5" w:rsidRPr="00413AB5" w:rsidRDefault="00413AB5" w:rsidP="00413AB5">
            <w:pPr>
              <w:spacing w:before="0" w:after="0" w:line="240" w:lineRule="auto"/>
              <w:ind w:firstLine="0"/>
              <w:jc w:val="right"/>
              <w:rPr>
                <w:rFonts w:ascii="Times New Roman" w:eastAsia="Times New Roman" w:hAnsi="Times New Roman" w:cs="Times New Roman"/>
                <w:color w:val="000000"/>
                <w:sz w:val="20"/>
                <w:szCs w:val="20"/>
                <w:lang w:val="pt-BR"/>
              </w:rPr>
            </w:pPr>
          </w:p>
        </w:tc>
      </w:tr>
    </w:tbl>
    <w:p w:rsidR="00413AB5" w:rsidRDefault="00413AB5">
      <w:pPr>
        <w:spacing w:before="0" w:after="160" w:line="480" w:lineRule="auto"/>
        <w:ind w:firstLine="720"/>
        <w:rPr>
          <w:rFonts w:ascii="Times New Roman" w:eastAsia="Times New Roman" w:hAnsi="Times New Roman" w:cs="Times New Roman"/>
          <w:sz w:val="24"/>
          <w:szCs w:val="24"/>
        </w:rPr>
      </w:pPr>
    </w:p>
    <w:p w:rsidR="00DD113A" w:rsidRDefault="00A01637">
      <w:pPr>
        <w:spacing w:before="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 run a second model restricted to those former public servants. The underlying hypothesis is that political affiliation may have differentiated effects </w:t>
      </w:r>
      <w:r w:rsidR="00DD113A">
        <w:rPr>
          <w:rFonts w:ascii="Times New Roman" w:eastAsia="Times New Roman" w:hAnsi="Times New Roman" w:cs="Times New Roman"/>
          <w:sz w:val="24"/>
          <w:szCs w:val="24"/>
        </w:rPr>
        <w:t xml:space="preserve">in the odds of getting a private position </w:t>
      </w:r>
      <w:r>
        <w:rPr>
          <w:rFonts w:ascii="Times New Roman" w:eastAsia="Times New Roman" w:hAnsi="Times New Roman" w:cs="Times New Roman"/>
          <w:sz w:val="24"/>
          <w:szCs w:val="24"/>
        </w:rPr>
        <w:t xml:space="preserve">depending if the </w:t>
      </w:r>
      <w:r w:rsidR="00DD113A">
        <w:rPr>
          <w:rFonts w:ascii="Times New Roman" w:eastAsia="Times New Roman" w:hAnsi="Times New Roman" w:cs="Times New Roman"/>
          <w:sz w:val="24"/>
          <w:szCs w:val="24"/>
        </w:rPr>
        <w:t>worker comes from the public or private sector. Results are in table 4.</w:t>
      </w:r>
    </w:p>
    <w:p w:rsidR="00DD113A" w:rsidRDefault="00DD113A" w:rsidP="00DD113A">
      <w:pPr>
        <w:spacing w:before="0" w:after="0" w:line="48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Table 4</w:t>
      </w:r>
      <w:r w:rsidRPr="00C044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Probit</w:t>
      </w:r>
      <w:proofErr w:type="spellEnd"/>
      <w:r>
        <w:rPr>
          <w:rFonts w:ascii="Times New Roman" w:eastAsia="Times New Roman" w:hAnsi="Times New Roman" w:cs="Times New Roman"/>
          <w:sz w:val="20"/>
          <w:szCs w:val="20"/>
        </w:rPr>
        <w:t xml:space="preserve"> model</w:t>
      </w:r>
      <w:r>
        <w:rPr>
          <w:rFonts w:ascii="Times New Roman" w:eastAsia="Times New Roman" w:hAnsi="Times New Roman" w:cs="Times New Roman"/>
          <w:sz w:val="20"/>
          <w:szCs w:val="20"/>
        </w:rPr>
        <w:t>, restricted to public servants</w:t>
      </w:r>
      <w:r>
        <w:rPr>
          <w:rFonts w:ascii="Times New Roman" w:eastAsia="Times New Roman" w:hAnsi="Times New Roman" w:cs="Times New Roman"/>
          <w:sz w:val="20"/>
          <w:szCs w:val="20"/>
        </w:rPr>
        <w:t xml:space="preserve"> (dependent variable: at the private sector after a term as a regulator)</w:t>
      </w: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DD113A" w:rsidRPr="00413AB5" w:rsidTr="001939DC">
        <w:trPr>
          <w:trHeight w:val="300"/>
          <w:jc w:val="center"/>
        </w:trPr>
        <w:tc>
          <w:tcPr>
            <w:tcW w:w="2379" w:type="dxa"/>
            <w:shd w:val="clear" w:color="auto" w:fill="auto"/>
            <w:noWrap/>
            <w:vAlign w:val="bottom"/>
            <w:hideMark/>
          </w:tcPr>
          <w:p w:rsidR="00DD113A" w:rsidRPr="00413AB5" w:rsidRDefault="00DD113A" w:rsidP="001939DC">
            <w:pPr>
              <w:spacing w:before="0" w:after="0" w:line="240" w:lineRule="auto"/>
              <w:ind w:firstLine="0"/>
              <w:jc w:val="left"/>
              <w:rPr>
                <w:rFonts w:ascii="Times New Roman" w:eastAsia="Times New Roman" w:hAnsi="Times New Roman" w:cs="Times New Roman"/>
                <w:sz w:val="20"/>
                <w:szCs w:val="20"/>
              </w:rPr>
            </w:pPr>
          </w:p>
        </w:tc>
        <w:tc>
          <w:tcPr>
            <w:tcW w:w="940" w:type="dxa"/>
            <w:shd w:val="clear" w:color="auto" w:fill="auto"/>
            <w:noWrap/>
            <w:vAlign w:val="bottom"/>
            <w:hideMark/>
          </w:tcPr>
          <w:p w:rsidR="00DD113A" w:rsidRPr="00413AB5" w:rsidRDefault="00DD113A" w:rsidP="001939DC">
            <w:pPr>
              <w:spacing w:before="0" w:after="0" w:line="240" w:lineRule="auto"/>
              <w:ind w:firstLine="0"/>
              <w:jc w:val="left"/>
              <w:rPr>
                <w:rFonts w:ascii="Times New Roman" w:eastAsia="Times New Roman" w:hAnsi="Times New Roman" w:cs="Times New Roman"/>
                <w:color w:val="000000"/>
                <w:sz w:val="20"/>
                <w:szCs w:val="20"/>
              </w:rPr>
            </w:pPr>
            <w:r w:rsidRPr="00413AB5">
              <w:rPr>
                <w:rFonts w:ascii="Times New Roman" w:eastAsia="Times New Roman" w:hAnsi="Times New Roman" w:cs="Times New Roman"/>
                <w:color w:val="000000"/>
                <w:sz w:val="20"/>
                <w:szCs w:val="20"/>
              </w:rPr>
              <w:t>Estimate</w:t>
            </w:r>
          </w:p>
        </w:tc>
        <w:tc>
          <w:tcPr>
            <w:tcW w:w="1029" w:type="dxa"/>
            <w:shd w:val="clear" w:color="auto" w:fill="auto"/>
            <w:noWrap/>
            <w:vAlign w:val="bottom"/>
            <w:hideMark/>
          </w:tcPr>
          <w:p w:rsidR="00DD113A" w:rsidRPr="00413AB5" w:rsidRDefault="00DD113A" w:rsidP="001939DC">
            <w:pPr>
              <w:spacing w:before="0" w:after="0" w:line="240" w:lineRule="auto"/>
              <w:ind w:firstLine="0"/>
              <w:jc w:val="left"/>
              <w:rPr>
                <w:rFonts w:ascii="Times New Roman" w:eastAsia="Times New Roman" w:hAnsi="Times New Roman" w:cs="Times New Roman"/>
                <w:color w:val="000000"/>
                <w:sz w:val="20"/>
                <w:szCs w:val="20"/>
              </w:rPr>
            </w:pPr>
            <w:r w:rsidRPr="00413AB5">
              <w:rPr>
                <w:rFonts w:ascii="Times New Roman" w:eastAsia="Times New Roman" w:hAnsi="Times New Roman" w:cs="Times New Roman"/>
                <w:color w:val="000000"/>
                <w:sz w:val="20"/>
                <w:szCs w:val="20"/>
              </w:rPr>
              <w:t>Std. Error</w:t>
            </w:r>
          </w:p>
        </w:tc>
        <w:tc>
          <w:tcPr>
            <w:tcW w:w="812" w:type="dxa"/>
            <w:shd w:val="clear" w:color="auto" w:fill="auto"/>
            <w:noWrap/>
            <w:vAlign w:val="bottom"/>
            <w:hideMark/>
          </w:tcPr>
          <w:p w:rsidR="00DD113A" w:rsidRPr="00413AB5" w:rsidRDefault="00DD113A" w:rsidP="001939DC">
            <w:pPr>
              <w:spacing w:before="0" w:after="0" w:line="240" w:lineRule="auto"/>
              <w:ind w:firstLine="0"/>
              <w:jc w:val="left"/>
              <w:rPr>
                <w:rFonts w:ascii="Times New Roman" w:eastAsia="Times New Roman" w:hAnsi="Times New Roman" w:cs="Times New Roman"/>
                <w:color w:val="000000"/>
                <w:sz w:val="20"/>
                <w:szCs w:val="20"/>
              </w:rPr>
            </w:pPr>
            <w:r w:rsidRPr="00413AB5">
              <w:rPr>
                <w:rFonts w:ascii="Times New Roman" w:eastAsia="Times New Roman" w:hAnsi="Times New Roman" w:cs="Times New Roman"/>
                <w:color w:val="000000"/>
                <w:sz w:val="20"/>
                <w:szCs w:val="20"/>
              </w:rPr>
              <w:t>z value</w:t>
            </w:r>
          </w:p>
        </w:tc>
        <w:tc>
          <w:tcPr>
            <w:tcW w:w="833" w:type="dxa"/>
            <w:shd w:val="clear" w:color="auto" w:fill="auto"/>
            <w:noWrap/>
            <w:vAlign w:val="bottom"/>
            <w:hideMark/>
          </w:tcPr>
          <w:p w:rsidR="00DD113A" w:rsidRPr="00413AB5" w:rsidRDefault="00DD113A" w:rsidP="001939DC">
            <w:pPr>
              <w:spacing w:before="0" w:after="0" w:line="240" w:lineRule="auto"/>
              <w:ind w:firstLine="0"/>
              <w:jc w:val="left"/>
              <w:rPr>
                <w:rFonts w:ascii="Times New Roman" w:eastAsia="Times New Roman" w:hAnsi="Times New Roman" w:cs="Times New Roman"/>
                <w:color w:val="000000"/>
                <w:sz w:val="20"/>
                <w:szCs w:val="20"/>
                <w:lang w:val="pt-BR"/>
              </w:rPr>
            </w:pPr>
            <w:proofErr w:type="spellStart"/>
            <w:r w:rsidRPr="00413AB5">
              <w:rPr>
                <w:rFonts w:ascii="Times New Roman" w:eastAsia="Times New Roman" w:hAnsi="Times New Roman" w:cs="Times New Roman"/>
                <w:color w:val="000000"/>
                <w:sz w:val="20"/>
                <w:szCs w:val="20"/>
              </w:rPr>
              <w:t>Pr</w:t>
            </w:r>
            <w:proofErr w:type="spellEnd"/>
            <w:r w:rsidRPr="00413AB5">
              <w:rPr>
                <w:rFonts w:ascii="Times New Roman" w:eastAsia="Times New Roman" w:hAnsi="Times New Roman" w:cs="Times New Roman"/>
                <w:color w:val="000000"/>
                <w:sz w:val="20"/>
                <w:szCs w:val="20"/>
              </w:rPr>
              <w:t>(&gt;</w:t>
            </w:r>
            <w:r w:rsidRPr="00413AB5">
              <w:rPr>
                <w:rFonts w:ascii="Times New Roman" w:eastAsia="Times New Roman" w:hAnsi="Times New Roman" w:cs="Times New Roman"/>
                <w:color w:val="000000"/>
                <w:sz w:val="20"/>
                <w:szCs w:val="20"/>
                <w:lang w:val="pt-BR"/>
              </w:rPr>
              <w:t>|z|)</w:t>
            </w:r>
          </w:p>
        </w:tc>
      </w:tr>
      <w:tr w:rsidR="00DD113A" w:rsidRPr="00413AB5" w:rsidTr="001939DC">
        <w:trPr>
          <w:trHeight w:val="300"/>
          <w:jc w:val="center"/>
        </w:trPr>
        <w:tc>
          <w:tcPr>
            <w:tcW w:w="2379" w:type="dxa"/>
            <w:shd w:val="clear" w:color="auto" w:fill="auto"/>
            <w:noWrap/>
            <w:vAlign w:val="bottom"/>
            <w:hideMark/>
          </w:tcPr>
          <w:p w:rsidR="00DD113A" w:rsidRPr="00413AB5" w:rsidRDefault="00DD113A" w:rsidP="00DD113A">
            <w:pPr>
              <w:spacing w:before="0" w:after="0" w:line="240" w:lineRule="auto"/>
              <w:ind w:firstLine="0"/>
              <w:jc w:val="left"/>
              <w:rPr>
                <w:rFonts w:ascii="Times New Roman" w:eastAsia="Times New Roman" w:hAnsi="Times New Roman" w:cs="Times New Roman"/>
                <w:color w:val="000000"/>
                <w:sz w:val="20"/>
                <w:szCs w:val="20"/>
                <w:lang w:val="pt-BR"/>
              </w:rPr>
            </w:pPr>
            <w:r w:rsidRPr="00413AB5">
              <w:rPr>
                <w:rFonts w:ascii="Times New Roman" w:eastAsia="Times New Roman" w:hAnsi="Times New Roman" w:cs="Times New Roman"/>
                <w:color w:val="000000"/>
                <w:sz w:val="20"/>
                <w:szCs w:val="20"/>
                <w:lang w:val="pt-BR"/>
              </w:rPr>
              <w:t>(</w:t>
            </w:r>
            <w:proofErr w:type="spellStart"/>
            <w:r w:rsidRPr="00413AB5">
              <w:rPr>
                <w:rFonts w:ascii="Times New Roman" w:eastAsia="Times New Roman" w:hAnsi="Times New Roman" w:cs="Times New Roman"/>
                <w:color w:val="000000"/>
                <w:sz w:val="20"/>
                <w:szCs w:val="20"/>
                <w:lang w:val="pt-BR"/>
              </w:rPr>
              <w:t>Intercept</w:t>
            </w:r>
            <w:proofErr w:type="spellEnd"/>
            <w:r w:rsidRPr="00413AB5">
              <w:rPr>
                <w:rFonts w:ascii="Times New Roman" w:eastAsia="Times New Roman" w:hAnsi="Times New Roman" w:cs="Times New Roman"/>
                <w:color w:val="000000"/>
                <w:sz w:val="20"/>
                <w:szCs w:val="20"/>
                <w:lang w:val="pt-BR"/>
              </w:rPr>
              <w:t>)</w:t>
            </w:r>
          </w:p>
        </w:tc>
        <w:tc>
          <w:tcPr>
            <w:tcW w:w="940"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0,033</w:t>
            </w:r>
          </w:p>
        </w:tc>
        <w:tc>
          <w:tcPr>
            <w:tcW w:w="1029"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0,256</w:t>
            </w:r>
          </w:p>
        </w:tc>
        <w:tc>
          <w:tcPr>
            <w:tcW w:w="812"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0,128</w:t>
            </w:r>
          </w:p>
        </w:tc>
        <w:tc>
          <w:tcPr>
            <w:tcW w:w="833"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0,898</w:t>
            </w:r>
          </w:p>
        </w:tc>
      </w:tr>
      <w:tr w:rsidR="00DD113A" w:rsidRPr="00413AB5" w:rsidTr="001939DC">
        <w:trPr>
          <w:trHeight w:val="300"/>
          <w:jc w:val="center"/>
        </w:trPr>
        <w:tc>
          <w:tcPr>
            <w:tcW w:w="2379" w:type="dxa"/>
            <w:shd w:val="clear" w:color="auto" w:fill="auto"/>
            <w:noWrap/>
            <w:vAlign w:val="bottom"/>
            <w:hideMark/>
          </w:tcPr>
          <w:p w:rsidR="00DD113A" w:rsidRPr="00413AB5" w:rsidRDefault="00DD113A" w:rsidP="00DD113A">
            <w:pPr>
              <w:spacing w:before="0" w:after="0" w:line="240" w:lineRule="auto"/>
              <w:ind w:firstLine="0"/>
              <w:jc w:val="left"/>
              <w:rPr>
                <w:rFonts w:ascii="Times New Roman" w:eastAsia="Times New Roman" w:hAnsi="Times New Roman" w:cs="Times New Roman"/>
                <w:color w:val="000000"/>
                <w:sz w:val="20"/>
                <w:szCs w:val="20"/>
                <w:lang w:val="pt-BR"/>
              </w:rPr>
            </w:pPr>
            <w:r>
              <w:rPr>
                <w:rFonts w:ascii="Times New Roman" w:eastAsia="Times New Roman" w:hAnsi="Times New Roman" w:cs="Times New Roman"/>
                <w:color w:val="000000"/>
                <w:sz w:val="20"/>
                <w:szCs w:val="20"/>
                <w:lang w:val="pt-BR"/>
              </w:rPr>
              <w:t xml:space="preserve">Politically </w:t>
            </w:r>
            <w:proofErr w:type="spellStart"/>
            <w:r>
              <w:rPr>
                <w:rFonts w:ascii="Times New Roman" w:eastAsia="Times New Roman" w:hAnsi="Times New Roman" w:cs="Times New Roman"/>
                <w:color w:val="000000"/>
                <w:sz w:val="20"/>
                <w:szCs w:val="20"/>
                <w:lang w:val="pt-BR"/>
              </w:rPr>
              <w:t>affiliated</w:t>
            </w:r>
            <w:proofErr w:type="spellEnd"/>
          </w:p>
        </w:tc>
        <w:tc>
          <w:tcPr>
            <w:tcW w:w="940"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0,347</w:t>
            </w:r>
          </w:p>
        </w:tc>
        <w:tc>
          <w:tcPr>
            <w:tcW w:w="1029"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0,442</w:t>
            </w:r>
          </w:p>
        </w:tc>
        <w:tc>
          <w:tcPr>
            <w:tcW w:w="812"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0,785</w:t>
            </w:r>
          </w:p>
        </w:tc>
        <w:tc>
          <w:tcPr>
            <w:tcW w:w="833" w:type="dxa"/>
            <w:shd w:val="clear" w:color="auto" w:fill="auto"/>
            <w:noWrap/>
            <w:vAlign w:val="bottom"/>
          </w:tcPr>
          <w:p w:rsidR="00DD113A" w:rsidRPr="00DD113A" w:rsidRDefault="00DD113A" w:rsidP="00DD113A">
            <w:pPr>
              <w:ind w:firstLine="0"/>
              <w:jc w:val="center"/>
              <w:rPr>
                <w:rFonts w:ascii="Times New Roman" w:hAnsi="Times New Roman" w:cs="Times New Roman"/>
                <w:color w:val="000000"/>
                <w:sz w:val="20"/>
                <w:szCs w:val="20"/>
              </w:rPr>
            </w:pPr>
            <w:r w:rsidRPr="00DD113A">
              <w:rPr>
                <w:rFonts w:ascii="Times New Roman" w:hAnsi="Times New Roman" w:cs="Times New Roman"/>
                <w:color w:val="000000"/>
                <w:sz w:val="20"/>
                <w:szCs w:val="20"/>
              </w:rPr>
              <w:t>0,433</w:t>
            </w:r>
          </w:p>
        </w:tc>
      </w:tr>
      <w:tr w:rsidR="00DD113A" w:rsidRPr="00413AB5" w:rsidTr="001939DC">
        <w:trPr>
          <w:trHeight w:val="300"/>
          <w:jc w:val="center"/>
        </w:trPr>
        <w:tc>
          <w:tcPr>
            <w:tcW w:w="2379" w:type="dxa"/>
            <w:shd w:val="clear" w:color="auto" w:fill="auto"/>
            <w:noWrap/>
            <w:vAlign w:val="bottom"/>
          </w:tcPr>
          <w:p w:rsidR="00DD113A" w:rsidRDefault="00DD113A" w:rsidP="001939DC">
            <w:pPr>
              <w:spacing w:before="0" w:after="0" w:line="240" w:lineRule="auto"/>
              <w:ind w:firstLine="0"/>
              <w:jc w:val="left"/>
              <w:rPr>
                <w:rFonts w:ascii="Times New Roman" w:eastAsia="Times New Roman" w:hAnsi="Times New Roman" w:cs="Times New Roman"/>
                <w:color w:val="000000"/>
                <w:sz w:val="20"/>
                <w:szCs w:val="20"/>
                <w:lang w:val="pt-BR"/>
              </w:rPr>
            </w:pPr>
            <w:r>
              <w:rPr>
                <w:rFonts w:ascii="Times New Roman" w:eastAsia="Times New Roman" w:hAnsi="Times New Roman" w:cs="Times New Roman"/>
                <w:color w:val="000000"/>
                <w:sz w:val="20"/>
                <w:szCs w:val="20"/>
                <w:lang w:val="pt-BR"/>
              </w:rPr>
              <w:t>AIC</w:t>
            </w:r>
          </w:p>
        </w:tc>
        <w:tc>
          <w:tcPr>
            <w:tcW w:w="940" w:type="dxa"/>
            <w:shd w:val="clear" w:color="auto" w:fill="auto"/>
            <w:noWrap/>
            <w:vAlign w:val="bottom"/>
          </w:tcPr>
          <w:p w:rsidR="00DD113A" w:rsidRPr="00413AB5" w:rsidRDefault="00DD113A" w:rsidP="00DD113A">
            <w:pPr>
              <w:spacing w:before="0" w:after="0" w:line="240" w:lineRule="auto"/>
              <w:ind w:firstLine="0"/>
              <w:jc w:val="center"/>
              <w:rPr>
                <w:rFonts w:ascii="Times New Roman" w:eastAsia="Times New Roman" w:hAnsi="Times New Roman" w:cs="Times New Roman"/>
                <w:color w:val="000000"/>
                <w:sz w:val="20"/>
                <w:szCs w:val="20"/>
                <w:lang w:val="pt-BR"/>
              </w:rPr>
            </w:pPr>
            <w:r w:rsidRPr="00413AB5">
              <w:rPr>
                <w:rFonts w:ascii="Times New Roman" w:eastAsia="Times New Roman" w:hAnsi="Times New Roman" w:cs="Times New Roman"/>
                <w:color w:val="000000"/>
                <w:sz w:val="20"/>
                <w:szCs w:val="20"/>
                <w:lang w:val="pt-BR"/>
              </w:rPr>
              <w:t>1</w:t>
            </w:r>
            <w:r>
              <w:rPr>
                <w:rFonts w:ascii="Times New Roman" w:eastAsia="Times New Roman" w:hAnsi="Times New Roman" w:cs="Times New Roman"/>
                <w:color w:val="000000"/>
                <w:sz w:val="20"/>
                <w:szCs w:val="20"/>
                <w:lang w:val="pt-BR"/>
              </w:rPr>
              <w:t>31</w:t>
            </w:r>
            <w:r w:rsidRPr="00413AB5">
              <w:rPr>
                <w:rFonts w:ascii="Times New Roman" w:eastAsia="Times New Roman" w:hAnsi="Times New Roman" w:cs="Times New Roman"/>
                <w:color w:val="000000"/>
                <w:sz w:val="20"/>
                <w:szCs w:val="20"/>
                <w:lang w:val="pt-BR"/>
              </w:rPr>
              <w:t>.</w:t>
            </w:r>
            <w:r>
              <w:rPr>
                <w:rFonts w:ascii="Times New Roman" w:eastAsia="Times New Roman" w:hAnsi="Times New Roman" w:cs="Times New Roman"/>
                <w:color w:val="000000"/>
                <w:sz w:val="20"/>
                <w:szCs w:val="20"/>
                <w:lang w:val="pt-BR"/>
              </w:rPr>
              <w:t>72</w:t>
            </w:r>
          </w:p>
        </w:tc>
        <w:tc>
          <w:tcPr>
            <w:tcW w:w="1029" w:type="dxa"/>
            <w:shd w:val="clear" w:color="auto" w:fill="auto"/>
            <w:noWrap/>
            <w:vAlign w:val="bottom"/>
          </w:tcPr>
          <w:p w:rsidR="00DD113A" w:rsidRPr="00413AB5" w:rsidRDefault="00DD113A" w:rsidP="001939DC">
            <w:pPr>
              <w:spacing w:before="0" w:after="0" w:line="240" w:lineRule="auto"/>
              <w:ind w:firstLine="0"/>
              <w:jc w:val="right"/>
              <w:rPr>
                <w:rFonts w:ascii="Times New Roman" w:eastAsia="Times New Roman" w:hAnsi="Times New Roman" w:cs="Times New Roman"/>
                <w:color w:val="000000"/>
                <w:sz w:val="20"/>
                <w:szCs w:val="20"/>
                <w:lang w:val="pt-BR"/>
              </w:rPr>
            </w:pPr>
          </w:p>
        </w:tc>
        <w:tc>
          <w:tcPr>
            <w:tcW w:w="812" w:type="dxa"/>
            <w:shd w:val="clear" w:color="auto" w:fill="auto"/>
            <w:noWrap/>
            <w:vAlign w:val="bottom"/>
          </w:tcPr>
          <w:p w:rsidR="00DD113A" w:rsidRPr="00413AB5" w:rsidRDefault="00DD113A" w:rsidP="001939DC">
            <w:pPr>
              <w:spacing w:before="0" w:after="0" w:line="240" w:lineRule="auto"/>
              <w:ind w:firstLine="0"/>
              <w:jc w:val="right"/>
              <w:rPr>
                <w:rFonts w:ascii="Times New Roman" w:eastAsia="Times New Roman" w:hAnsi="Times New Roman" w:cs="Times New Roman"/>
                <w:color w:val="000000"/>
                <w:sz w:val="20"/>
                <w:szCs w:val="20"/>
                <w:lang w:val="pt-BR"/>
              </w:rPr>
            </w:pPr>
          </w:p>
        </w:tc>
        <w:tc>
          <w:tcPr>
            <w:tcW w:w="833" w:type="dxa"/>
            <w:shd w:val="clear" w:color="auto" w:fill="auto"/>
            <w:noWrap/>
            <w:vAlign w:val="bottom"/>
          </w:tcPr>
          <w:p w:rsidR="00DD113A" w:rsidRPr="00413AB5" w:rsidRDefault="00DD113A" w:rsidP="001939DC">
            <w:pPr>
              <w:spacing w:before="0" w:after="0" w:line="240" w:lineRule="auto"/>
              <w:ind w:firstLine="0"/>
              <w:jc w:val="right"/>
              <w:rPr>
                <w:rFonts w:ascii="Times New Roman" w:eastAsia="Times New Roman" w:hAnsi="Times New Roman" w:cs="Times New Roman"/>
                <w:color w:val="000000"/>
                <w:sz w:val="20"/>
                <w:szCs w:val="20"/>
                <w:lang w:val="pt-BR"/>
              </w:rPr>
            </w:pPr>
          </w:p>
        </w:tc>
      </w:tr>
      <w:tr w:rsidR="00DD113A" w:rsidRPr="00413AB5" w:rsidTr="001939DC">
        <w:trPr>
          <w:trHeight w:val="300"/>
          <w:jc w:val="center"/>
        </w:trPr>
        <w:tc>
          <w:tcPr>
            <w:tcW w:w="2379" w:type="dxa"/>
            <w:shd w:val="clear" w:color="auto" w:fill="auto"/>
            <w:noWrap/>
            <w:vAlign w:val="bottom"/>
          </w:tcPr>
          <w:p w:rsidR="00DD113A" w:rsidRDefault="00DD113A" w:rsidP="001939DC">
            <w:pPr>
              <w:spacing w:before="0" w:after="0" w:line="240" w:lineRule="auto"/>
              <w:ind w:firstLine="0"/>
              <w:jc w:val="left"/>
              <w:rPr>
                <w:rFonts w:ascii="Times New Roman" w:eastAsia="Times New Roman" w:hAnsi="Times New Roman" w:cs="Times New Roman"/>
                <w:color w:val="000000"/>
                <w:sz w:val="20"/>
                <w:szCs w:val="20"/>
                <w:lang w:val="pt-BR"/>
              </w:rPr>
            </w:pPr>
            <w:r>
              <w:rPr>
                <w:rFonts w:ascii="Times New Roman" w:eastAsia="Times New Roman" w:hAnsi="Times New Roman" w:cs="Times New Roman"/>
                <w:color w:val="000000"/>
                <w:sz w:val="20"/>
                <w:szCs w:val="20"/>
                <w:lang w:val="pt-BR"/>
              </w:rPr>
              <w:t>DF</w:t>
            </w:r>
          </w:p>
        </w:tc>
        <w:tc>
          <w:tcPr>
            <w:tcW w:w="940" w:type="dxa"/>
            <w:shd w:val="clear" w:color="auto" w:fill="auto"/>
            <w:noWrap/>
            <w:vAlign w:val="bottom"/>
          </w:tcPr>
          <w:p w:rsidR="00DD113A" w:rsidRPr="00413AB5" w:rsidRDefault="00DD113A" w:rsidP="001939DC">
            <w:pPr>
              <w:spacing w:before="0" w:after="0" w:line="240" w:lineRule="auto"/>
              <w:ind w:firstLine="0"/>
              <w:jc w:val="center"/>
              <w:rPr>
                <w:rFonts w:ascii="Times New Roman" w:eastAsia="Times New Roman" w:hAnsi="Times New Roman" w:cs="Times New Roman"/>
                <w:color w:val="000000"/>
                <w:sz w:val="20"/>
                <w:szCs w:val="20"/>
                <w:lang w:val="pt-BR"/>
              </w:rPr>
            </w:pPr>
            <w:r>
              <w:rPr>
                <w:rFonts w:ascii="Times New Roman" w:eastAsia="Times New Roman" w:hAnsi="Times New Roman" w:cs="Times New Roman"/>
                <w:color w:val="000000"/>
                <w:sz w:val="20"/>
                <w:szCs w:val="20"/>
                <w:lang w:val="pt-BR"/>
              </w:rPr>
              <w:t>92</w:t>
            </w:r>
          </w:p>
        </w:tc>
        <w:tc>
          <w:tcPr>
            <w:tcW w:w="1029" w:type="dxa"/>
            <w:shd w:val="clear" w:color="auto" w:fill="auto"/>
            <w:noWrap/>
            <w:vAlign w:val="bottom"/>
          </w:tcPr>
          <w:p w:rsidR="00DD113A" w:rsidRPr="00413AB5" w:rsidRDefault="00DD113A" w:rsidP="001939DC">
            <w:pPr>
              <w:spacing w:before="0" w:after="0" w:line="240" w:lineRule="auto"/>
              <w:ind w:firstLine="0"/>
              <w:jc w:val="right"/>
              <w:rPr>
                <w:rFonts w:ascii="Times New Roman" w:eastAsia="Times New Roman" w:hAnsi="Times New Roman" w:cs="Times New Roman"/>
                <w:color w:val="000000"/>
                <w:sz w:val="20"/>
                <w:szCs w:val="20"/>
                <w:lang w:val="pt-BR"/>
              </w:rPr>
            </w:pPr>
          </w:p>
        </w:tc>
        <w:tc>
          <w:tcPr>
            <w:tcW w:w="812" w:type="dxa"/>
            <w:shd w:val="clear" w:color="auto" w:fill="auto"/>
            <w:noWrap/>
            <w:vAlign w:val="bottom"/>
          </w:tcPr>
          <w:p w:rsidR="00DD113A" w:rsidRPr="00413AB5" w:rsidRDefault="00DD113A" w:rsidP="001939DC">
            <w:pPr>
              <w:spacing w:before="0" w:after="0" w:line="240" w:lineRule="auto"/>
              <w:ind w:firstLine="0"/>
              <w:jc w:val="right"/>
              <w:rPr>
                <w:rFonts w:ascii="Times New Roman" w:eastAsia="Times New Roman" w:hAnsi="Times New Roman" w:cs="Times New Roman"/>
                <w:color w:val="000000"/>
                <w:sz w:val="20"/>
                <w:szCs w:val="20"/>
                <w:lang w:val="pt-BR"/>
              </w:rPr>
            </w:pPr>
          </w:p>
        </w:tc>
        <w:tc>
          <w:tcPr>
            <w:tcW w:w="833" w:type="dxa"/>
            <w:shd w:val="clear" w:color="auto" w:fill="auto"/>
            <w:noWrap/>
            <w:vAlign w:val="bottom"/>
          </w:tcPr>
          <w:p w:rsidR="00DD113A" w:rsidRPr="00413AB5" w:rsidRDefault="00DD113A" w:rsidP="001939DC">
            <w:pPr>
              <w:spacing w:before="0" w:after="0" w:line="240" w:lineRule="auto"/>
              <w:ind w:firstLine="0"/>
              <w:jc w:val="right"/>
              <w:rPr>
                <w:rFonts w:ascii="Times New Roman" w:eastAsia="Times New Roman" w:hAnsi="Times New Roman" w:cs="Times New Roman"/>
                <w:color w:val="000000"/>
                <w:sz w:val="20"/>
                <w:szCs w:val="20"/>
                <w:lang w:val="pt-BR"/>
              </w:rPr>
            </w:pPr>
          </w:p>
        </w:tc>
      </w:tr>
    </w:tbl>
    <w:p w:rsidR="00DD113A" w:rsidRDefault="00DD113A">
      <w:pPr>
        <w:spacing w:before="0" w:after="160" w:line="480" w:lineRule="auto"/>
        <w:ind w:firstLine="720"/>
        <w:rPr>
          <w:rFonts w:ascii="Times New Roman" w:eastAsia="Times New Roman" w:hAnsi="Times New Roman" w:cs="Times New Roman"/>
          <w:sz w:val="24"/>
          <w:szCs w:val="24"/>
        </w:rPr>
      </w:pPr>
    </w:p>
    <w:p w:rsidR="00DD113A" w:rsidRDefault="00DD113A">
      <w:pPr>
        <w:spacing w:before="0"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model, one cannot reject the null hypothesis that political affiliation has no impact on the probability of working at the private sector after a term in a regulatory board.</w:t>
      </w:r>
    </w:p>
    <w:p w:rsidR="00C263B8" w:rsidRDefault="00C263B8">
      <w:pPr>
        <w:pBdr>
          <w:top w:val="nil"/>
          <w:left w:val="nil"/>
          <w:bottom w:val="nil"/>
          <w:right w:val="nil"/>
          <w:between w:val="nil"/>
        </w:pBdr>
        <w:spacing w:before="0" w:after="0" w:line="360" w:lineRule="auto"/>
        <w:ind w:firstLine="0"/>
        <w:rPr>
          <w:rFonts w:ascii="Times New Roman" w:eastAsia="Times New Roman" w:hAnsi="Times New Roman" w:cs="Times New Roman"/>
          <w:i/>
          <w:sz w:val="24"/>
          <w:szCs w:val="24"/>
        </w:rPr>
      </w:pPr>
      <w:bookmarkStart w:id="0" w:name="_GoBack"/>
      <w:bookmarkEnd w:id="0"/>
    </w:p>
    <w:p w:rsidR="00C263B8"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C263B8" w:rsidRDefault="00C263B8">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p>
    <w:p w:rsidR="00C263B8" w:rsidRDefault="00C263B8">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p>
    <w:p w:rsidR="00C263B8"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C263B8" w:rsidRDefault="00C263B8">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sz w:val="24"/>
          <w:szCs w:val="24"/>
        </w:rPr>
      </w:pPr>
    </w:p>
    <w:p w:rsidR="00C263B8" w:rsidRDefault="00C263B8">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sz w:val="24"/>
          <w:szCs w:val="24"/>
        </w:rPr>
      </w:pPr>
    </w:p>
    <w:p w:rsidR="00C263B8" w:rsidRDefault="00C0441B">
      <w:pPr>
        <w:pBdr>
          <w:top w:val="nil"/>
          <w:left w:val="nil"/>
          <w:bottom w:val="nil"/>
          <w:right w:val="nil"/>
          <w:between w:val="nil"/>
        </w:pBdr>
        <w:spacing w:before="0" w:after="0" w:line="360" w:lineRule="auto"/>
        <w:ind w:left="284"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Beblavy</w:t>
      </w:r>
      <w:proofErr w:type="spellEnd"/>
      <w:r>
        <w:rPr>
          <w:rFonts w:ascii="Times New Roman" w:eastAsia="Times New Roman" w:hAnsi="Times New Roman" w:cs="Times New Roman"/>
          <w:sz w:val="24"/>
          <w:szCs w:val="24"/>
        </w:rPr>
        <w:t xml:space="preserve">, M. (2011). Understanding the waves of </w:t>
      </w:r>
      <w:proofErr w:type="spellStart"/>
      <w:r>
        <w:rPr>
          <w:rFonts w:ascii="Times New Roman" w:eastAsia="Times New Roman" w:hAnsi="Times New Roman" w:cs="Times New Roman"/>
          <w:sz w:val="24"/>
          <w:szCs w:val="24"/>
        </w:rPr>
        <w:t>agencification</w:t>
      </w:r>
      <w:proofErr w:type="spellEnd"/>
      <w:r>
        <w:rPr>
          <w:rFonts w:ascii="Times New Roman" w:eastAsia="Times New Roman" w:hAnsi="Times New Roman" w:cs="Times New Roman"/>
          <w:sz w:val="24"/>
          <w:szCs w:val="24"/>
        </w:rPr>
        <w:t xml:space="preserve"> and the governance </w:t>
      </w:r>
      <w:proofErr w:type="gramStart"/>
      <w:r>
        <w:rPr>
          <w:rFonts w:ascii="Times New Roman" w:eastAsia="Times New Roman" w:hAnsi="Times New Roman" w:cs="Times New Roman"/>
          <w:sz w:val="24"/>
          <w:szCs w:val="24"/>
        </w:rPr>
        <w:t>problems</w:t>
      </w:r>
      <w:proofErr w:type="gramEnd"/>
      <w:r>
        <w:rPr>
          <w:rFonts w:ascii="Times New Roman" w:eastAsia="Times New Roman" w:hAnsi="Times New Roman" w:cs="Times New Roman"/>
          <w:sz w:val="24"/>
          <w:szCs w:val="24"/>
        </w:rPr>
        <w:t xml:space="preserve"> they have raised in central and eastern </w:t>
      </w:r>
      <w:proofErr w:type="spellStart"/>
      <w:r>
        <w:rPr>
          <w:rFonts w:ascii="Times New Roman" w:eastAsia="Times New Roman" w:hAnsi="Times New Roman" w:cs="Times New Roman"/>
          <w:sz w:val="24"/>
          <w:szCs w:val="24"/>
        </w:rPr>
        <w:t>european</w:t>
      </w:r>
      <w:proofErr w:type="spellEnd"/>
      <w:r>
        <w:rPr>
          <w:rFonts w:ascii="Times New Roman" w:eastAsia="Times New Roman" w:hAnsi="Times New Roman" w:cs="Times New Roman"/>
          <w:sz w:val="24"/>
          <w:szCs w:val="24"/>
        </w:rPr>
        <w:t xml:space="preserve"> countries. </w:t>
      </w:r>
    </w:p>
    <w:p w:rsidR="00C263B8" w:rsidRPr="00D2754C"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rPr>
        <w:t xml:space="preserve">Carpenter, D. and Moss, D. A. (2013). Preventing regulatory capture: </w:t>
      </w:r>
      <w:proofErr w:type="gramStart"/>
      <w:r>
        <w:rPr>
          <w:rFonts w:ascii="Times New Roman" w:eastAsia="Times New Roman" w:hAnsi="Times New Roman" w:cs="Times New Roman"/>
          <w:sz w:val="24"/>
          <w:szCs w:val="24"/>
        </w:rPr>
        <w:t>Special interest influence and how to limit it</w:t>
      </w:r>
      <w:proofErr w:type="gramEnd"/>
      <w:r>
        <w:rPr>
          <w:rFonts w:ascii="Times New Roman" w:eastAsia="Times New Roman" w:hAnsi="Times New Roman" w:cs="Times New Roman"/>
          <w:sz w:val="24"/>
          <w:szCs w:val="24"/>
        </w:rPr>
        <w:t xml:space="preserve">. </w:t>
      </w:r>
      <w:r w:rsidRPr="00D2754C">
        <w:rPr>
          <w:rFonts w:ascii="Times New Roman" w:eastAsia="Times New Roman" w:hAnsi="Times New Roman" w:cs="Times New Roman"/>
          <w:sz w:val="24"/>
          <w:szCs w:val="24"/>
          <w:lang w:val="pt-BR"/>
        </w:rPr>
        <w:t xml:space="preserve">Cambridge </w:t>
      </w:r>
      <w:proofErr w:type="spellStart"/>
      <w:r w:rsidRPr="00D2754C">
        <w:rPr>
          <w:rFonts w:ascii="Times New Roman" w:eastAsia="Times New Roman" w:hAnsi="Times New Roman" w:cs="Times New Roman"/>
          <w:sz w:val="24"/>
          <w:szCs w:val="24"/>
          <w:lang w:val="pt-BR"/>
        </w:rPr>
        <w:t>University</w:t>
      </w:r>
      <w:proofErr w:type="spellEnd"/>
      <w:r w:rsidRPr="00D2754C">
        <w:rPr>
          <w:rFonts w:ascii="Times New Roman" w:eastAsia="Times New Roman" w:hAnsi="Times New Roman" w:cs="Times New Roman"/>
          <w:sz w:val="24"/>
          <w:szCs w:val="24"/>
          <w:lang w:val="pt-BR"/>
        </w:rPr>
        <w:t xml:space="preserve"> Press. </w:t>
      </w:r>
    </w:p>
    <w:p w:rsidR="00C263B8" w:rsidRPr="00D2754C"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lang w:val="pt-BR"/>
        </w:rPr>
      </w:pPr>
      <w:r w:rsidRPr="00D2754C">
        <w:rPr>
          <w:rFonts w:ascii="Times New Roman" w:eastAsia="Times New Roman" w:hAnsi="Times New Roman" w:cs="Times New Roman"/>
          <w:sz w:val="24"/>
          <w:szCs w:val="24"/>
          <w:lang w:val="pt-BR"/>
        </w:rPr>
        <w:t xml:space="preserve">Cavalcanti, B. S. </w:t>
      </w:r>
      <w:proofErr w:type="spellStart"/>
      <w:r w:rsidRPr="00D2754C">
        <w:rPr>
          <w:rFonts w:ascii="Times New Roman" w:eastAsia="Times New Roman" w:hAnsi="Times New Roman" w:cs="Times New Roman"/>
          <w:sz w:val="24"/>
          <w:szCs w:val="24"/>
          <w:lang w:val="pt-BR"/>
        </w:rPr>
        <w:t>and</w:t>
      </w:r>
      <w:proofErr w:type="spellEnd"/>
      <w:r w:rsidRPr="00D2754C">
        <w:rPr>
          <w:rFonts w:ascii="Times New Roman" w:eastAsia="Times New Roman" w:hAnsi="Times New Roman" w:cs="Times New Roman"/>
          <w:sz w:val="24"/>
          <w:szCs w:val="24"/>
          <w:lang w:val="pt-BR"/>
        </w:rPr>
        <w:t xml:space="preserve"> </w:t>
      </w:r>
      <w:proofErr w:type="spellStart"/>
      <w:r w:rsidRPr="00D2754C">
        <w:rPr>
          <w:rFonts w:ascii="Times New Roman" w:eastAsia="Times New Roman" w:hAnsi="Times New Roman" w:cs="Times New Roman"/>
          <w:sz w:val="24"/>
          <w:szCs w:val="24"/>
          <w:lang w:val="pt-BR"/>
        </w:rPr>
        <w:t>Peci</w:t>
      </w:r>
      <w:proofErr w:type="spellEnd"/>
      <w:r w:rsidRPr="00D2754C">
        <w:rPr>
          <w:rFonts w:ascii="Times New Roman" w:eastAsia="Times New Roman" w:hAnsi="Times New Roman" w:cs="Times New Roman"/>
          <w:sz w:val="24"/>
          <w:szCs w:val="24"/>
          <w:lang w:val="pt-BR"/>
        </w:rPr>
        <w:t xml:space="preserve">, A. (2001). Para uma leitura </w:t>
      </w:r>
      <w:proofErr w:type="spellStart"/>
      <w:r w:rsidRPr="00D2754C">
        <w:rPr>
          <w:rFonts w:ascii="Times New Roman" w:eastAsia="Times New Roman" w:hAnsi="Times New Roman" w:cs="Times New Roman"/>
          <w:sz w:val="24"/>
          <w:szCs w:val="24"/>
          <w:lang w:val="pt-BR"/>
        </w:rPr>
        <w:t>pol´ıtica</w:t>
      </w:r>
      <w:proofErr w:type="spellEnd"/>
      <w:r w:rsidRPr="00D2754C">
        <w:rPr>
          <w:rFonts w:ascii="Times New Roman" w:eastAsia="Times New Roman" w:hAnsi="Times New Roman" w:cs="Times New Roman"/>
          <w:sz w:val="24"/>
          <w:szCs w:val="24"/>
          <w:lang w:val="pt-BR"/>
        </w:rPr>
        <w:t xml:space="preserve"> do ambiente regulatório brasileiro: Agências reguladoras e relações com os principais atores políticos. </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Christensen, T. and </w:t>
      </w:r>
      <w:proofErr w:type="spellStart"/>
      <w:r>
        <w:rPr>
          <w:rFonts w:ascii="Times New Roman" w:eastAsia="Times New Roman" w:hAnsi="Times New Roman" w:cs="Times New Roman"/>
          <w:sz w:val="24"/>
          <w:szCs w:val="24"/>
        </w:rPr>
        <w:t>Lægreid</w:t>
      </w:r>
      <w:proofErr w:type="spellEnd"/>
      <w:r>
        <w:rPr>
          <w:rFonts w:ascii="Times New Roman" w:eastAsia="Times New Roman" w:hAnsi="Times New Roman" w:cs="Times New Roman"/>
          <w:sz w:val="24"/>
          <w:szCs w:val="24"/>
        </w:rPr>
        <w:t xml:space="preserve">, P. (2005). Regulatory reforms and </w:t>
      </w:r>
      <w:proofErr w:type="spellStart"/>
      <w:r>
        <w:rPr>
          <w:rFonts w:ascii="Times New Roman" w:eastAsia="Times New Roman" w:hAnsi="Times New Roman" w:cs="Times New Roman"/>
          <w:sz w:val="24"/>
          <w:szCs w:val="24"/>
        </w:rPr>
        <w:t>agencification</w:t>
      </w:r>
      <w:proofErr w:type="spellEnd"/>
      <w:r>
        <w:rPr>
          <w:rFonts w:ascii="Times New Roman" w:eastAsia="Times New Roman" w:hAnsi="Times New Roman" w:cs="Times New Roman"/>
          <w:sz w:val="24"/>
          <w:szCs w:val="24"/>
        </w:rPr>
        <w:t>. Eckert, R. D. (1981). The life cycle of regulatory commissioners. The Journal of Law and Economics, 24(1):113–120.</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Gilardi</w:t>
      </w:r>
      <w:proofErr w:type="spellEnd"/>
      <w:r>
        <w:rPr>
          <w:rFonts w:ascii="Times New Roman" w:eastAsia="Times New Roman" w:hAnsi="Times New Roman" w:cs="Times New Roman"/>
          <w:sz w:val="24"/>
          <w:szCs w:val="24"/>
        </w:rPr>
        <w:t xml:space="preserve">, F. (2002). Policy credibility and delegation to independent regulatory agencies: a comparative empirical analysis. Journal of European Public Policy, 9(6):873–893. </w:t>
      </w:r>
    </w:p>
    <w:p w:rsidR="00C263B8" w:rsidRPr="00D2754C"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rPr>
        <w:t>Jordana</w:t>
      </w:r>
      <w:proofErr w:type="spellEnd"/>
      <w:r>
        <w:rPr>
          <w:rFonts w:ascii="Times New Roman" w:eastAsia="Times New Roman" w:hAnsi="Times New Roman" w:cs="Times New Roman"/>
          <w:sz w:val="24"/>
          <w:szCs w:val="24"/>
        </w:rPr>
        <w:t>, J., Levi-</w:t>
      </w:r>
      <w:proofErr w:type="spellStart"/>
      <w:r>
        <w:rPr>
          <w:rFonts w:ascii="Times New Roman" w:eastAsia="Times New Roman" w:hAnsi="Times New Roman" w:cs="Times New Roman"/>
          <w:sz w:val="24"/>
          <w:szCs w:val="24"/>
        </w:rPr>
        <w:t>Faur</w:t>
      </w:r>
      <w:proofErr w:type="spellEnd"/>
      <w:r>
        <w:rPr>
          <w:rFonts w:ascii="Times New Roman" w:eastAsia="Times New Roman" w:hAnsi="Times New Roman" w:cs="Times New Roman"/>
          <w:sz w:val="24"/>
          <w:szCs w:val="24"/>
        </w:rPr>
        <w:t xml:space="preserve">, D.,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Marín</w:t>
      </w:r>
      <w:proofErr w:type="spellEnd"/>
      <w:r>
        <w:rPr>
          <w:rFonts w:ascii="Times New Roman" w:eastAsia="Times New Roman" w:hAnsi="Times New Roman" w:cs="Times New Roman"/>
          <w:sz w:val="24"/>
          <w:szCs w:val="24"/>
        </w:rPr>
        <w:t xml:space="preserve">, X. F. (2011). The global diffusion of regulatory agencies: channels of transfer and stages of diffusion. </w:t>
      </w:r>
      <w:proofErr w:type="spellStart"/>
      <w:r w:rsidRPr="00D2754C">
        <w:rPr>
          <w:rFonts w:ascii="Times New Roman" w:eastAsia="Times New Roman" w:hAnsi="Times New Roman" w:cs="Times New Roman"/>
          <w:sz w:val="24"/>
          <w:szCs w:val="24"/>
          <w:lang w:val="pt-BR"/>
        </w:rPr>
        <w:t>Comparative</w:t>
      </w:r>
      <w:proofErr w:type="spellEnd"/>
      <w:r w:rsidRPr="00D2754C">
        <w:rPr>
          <w:rFonts w:ascii="Times New Roman" w:eastAsia="Times New Roman" w:hAnsi="Times New Roman" w:cs="Times New Roman"/>
          <w:sz w:val="24"/>
          <w:szCs w:val="24"/>
          <w:lang w:val="pt-BR"/>
        </w:rPr>
        <w:t xml:space="preserve"> </w:t>
      </w:r>
      <w:proofErr w:type="spellStart"/>
      <w:r w:rsidRPr="00D2754C">
        <w:rPr>
          <w:rFonts w:ascii="Times New Roman" w:eastAsia="Times New Roman" w:hAnsi="Times New Roman" w:cs="Times New Roman"/>
          <w:sz w:val="24"/>
          <w:szCs w:val="24"/>
          <w:lang w:val="pt-BR"/>
        </w:rPr>
        <w:t>political</w:t>
      </w:r>
      <w:proofErr w:type="spellEnd"/>
      <w:r w:rsidRPr="00D2754C">
        <w:rPr>
          <w:rFonts w:ascii="Times New Roman" w:eastAsia="Times New Roman" w:hAnsi="Times New Roman" w:cs="Times New Roman"/>
          <w:sz w:val="24"/>
          <w:szCs w:val="24"/>
          <w:lang w:val="pt-BR"/>
        </w:rPr>
        <w:t xml:space="preserve"> </w:t>
      </w:r>
      <w:proofErr w:type="spellStart"/>
      <w:r w:rsidRPr="00D2754C">
        <w:rPr>
          <w:rFonts w:ascii="Times New Roman" w:eastAsia="Times New Roman" w:hAnsi="Times New Roman" w:cs="Times New Roman"/>
          <w:sz w:val="24"/>
          <w:szCs w:val="24"/>
          <w:lang w:val="pt-BR"/>
        </w:rPr>
        <w:t>studies</w:t>
      </w:r>
      <w:proofErr w:type="spellEnd"/>
      <w:r w:rsidRPr="00D2754C">
        <w:rPr>
          <w:rFonts w:ascii="Times New Roman" w:eastAsia="Times New Roman" w:hAnsi="Times New Roman" w:cs="Times New Roman"/>
          <w:sz w:val="24"/>
          <w:szCs w:val="24"/>
          <w:lang w:val="pt-BR"/>
        </w:rPr>
        <w:t xml:space="preserve">, 44(10):1343–1369. </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proofErr w:type="spellStart"/>
      <w:r w:rsidRPr="00D2754C">
        <w:rPr>
          <w:rFonts w:ascii="Times New Roman" w:eastAsia="Times New Roman" w:hAnsi="Times New Roman" w:cs="Times New Roman"/>
          <w:sz w:val="24"/>
          <w:szCs w:val="24"/>
          <w:lang w:val="pt-BR"/>
        </w:rPr>
        <w:t>Justen</w:t>
      </w:r>
      <w:proofErr w:type="spellEnd"/>
      <w:r w:rsidRPr="00D2754C">
        <w:rPr>
          <w:rFonts w:ascii="Times New Roman" w:eastAsia="Times New Roman" w:hAnsi="Times New Roman" w:cs="Times New Roman"/>
          <w:sz w:val="24"/>
          <w:szCs w:val="24"/>
          <w:lang w:val="pt-BR"/>
        </w:rPr>
        <w:t xml:space="preserve"> Filho, M. (2006). Agências reguladoras e democracia: existe um déficit democrático na “regulação </w:t>
      </w:r>
      <w:proofErr w:type="gramStart"/>
      <w:r w:rsidRPr="00D2754C">
        <w:rPr>
          <w:rFonts w:ascii="Times New Roman" w:eastAsia="Times New Roman" w:hAnsi="Times New Roman" w:cs="Times New Roman"/>
          <w:sz w:val="24"/>
          <w:szCs w:val="24"/>
          <w:lang w:val="pt-BR"/>
        </w:rPr>
        <w:t>independente?”</w:t>
      </w:r>
      <w:proofErr w:type="gramEnd"/>
      <w:r w:rsidRPr="00D2754C">
        <w:rPr>
          <w:rFonts w:ascii="Times New Roman" w:eastAsia="Times New Roman" w:hAnsi="Times New Roman" w:cs="Times New Roman"/>
          <w:sz w:val="24"/>
          <w:szCs w:val="24"/>
          <w:lang w:val="pt-BR"/>
        </w:rPr>
        <w:t>. O poder normativo das agências reguladoras, Alexandre Santos de Aragão (</w:t>
      </w:r>
      <w:proofErr w:type="gramStart"/>
      <w:r w:rsidRPr="00D2754C">
        <w:rPr>
          <w:rFonts w:ascii="Times New Roman" w:eastAsia="Times New Roman" w:hAnsi="Times New Roman" w:cs="Times New Roman"/>
          <w:sz w:val="24"/>
          <w:szCs w:val="24"/>
          <w:lang w:val="pt-BR"/>
        </w:rPr>
        <w:t>Coordenador)...</w:t>
      </w:r>
      <w:proofErr w:type="gramEnd"/>
      <w:r w:rsidRPr="00D2754C">
        <w:rPr>
          <w:rFonts w:ascii="Times New Roman" w:eastAsia="Times New Roman" w:hAnsi="Times New Roman" w:cs="Times New Roman"/>
          <w:sz w:val="24"/>
          <w:szCs w:val="24"/>
          <w:lang w:val="pt-BR"/>
        </w:rPr>
        <w:t xml:space="preserve">[et al]. </w:t>
      </w:r>
      <w:r>
        <w:rPr>
          <w:rFonts w:ascii="Times New Roman" w:eastAsia="Times New Roman" w:hAnsi="Times New Roman" w:cs="Times New Roman"/>
          <w:sz w:val="24"/>
          <w:szCs w:val="24"/>
        </w:rPr>
        <w:t xml:space="preserve">Rio de Janeiro: </w:t>
      </w:r>
      <w:proofErr w:type="spellStart"/>
      <w:r>
        <w:rPr>
          <w:rFonts w:ascii="Times New Roman" w:eastAsia="Times New Roman" w:hAnsi="Times New Roman" w:cs="Times New Roman"/>
          <w:sz w:val="24"/>
          <w:szCs w:val="24"/>
        </w:rPr>
        <w:t>Forense</w:t>
      </w:r>
      <w:proofErr w:type="spellEnd"/>
      <w:r>
        <w:rPr>
          <w:rFonts w:ascii="Times New Roman" w:eastAsia="Times New Roman" w:hAnsi="Times New Roman" w:cs="Times New Roman"/>
          <w:sz w:val="24"/>
          <w:szCs w:val="24"/>
        </w:rPr>
        <w:t xml:space="preserve">. </w:t>
      </w:r>
    </w:p>
    <w:p w:rsidR="00C263B8" w:rsidRPr="00D2754C"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rPr>
        <w:t>Meirelles</w:t>
      </w:r>
      <w:proofErr w:type="spellEnd"/>
      <w:r>
        <w:rPr>
          <w:rFonts w:ascii="Times New Roman" w:eastAsia="Times New Roman" w:hAnsi="Times New Roman" w:cs="Times New Roman"/>
          <w:sz w:val="24"/>
          <w:szCs w:val="24"/>
        </w:rPr>
        <w:t xml:space="preserve">, F. and Oliva, R. (2006). Delegation and political control of the regulatory agencies in </w:t>
      </w:r>
      <w:proofErr w:type="gramStart"/>
      <w:r>
        <w:rPr>
          <w:rFonts w:ascii="Times New Roman" w:eastAsia="Times New Roman" w:hAnsi="Times New Roman" w:cs="Times New Roman"/>
          <w:sz w:val="24"/>
          <w:szCs w:val="24"/>
        </w:rPr>
        <w:t>brazil</w:t>
      </w:r>
      <w:proofErr w:type="gramEnd"/>
      <w:r>
        <w:rPr>
          <w:rFonts w:ascii="Times New Roman" w:eastAsia="Times New Roman" w:hAnsi="Times New Roman" w:cs="Times New Roman"/>
          <w:sz w:val="24"/>
          <w:szCs w:val="24"/>
        </w:rPr>
        <w:t xml:space="preserve">. </w:t>
      </w:r>
      <w:r w:rsidRPr="00D2754C">
        <w:rPr>
          <w:rFonts w:ascii="Times New Roman" w:eastAsia="Times New Roman" w:hAnsi="Times New Roman" w:cs="Times New Roman"/>
          <w:sz w:val="24"/>
          <w:szCs w:val="24"/>
          <w:lang w:val="pt-BR"/>
        </w:rPr>
        <w:t>Revista de Administração Pública, 40(4):545–565.</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r w:rsidRPr="00D2754C">
        <w:rPr>
          <w:rFonts w:ascii="Times New Roman" w:eastAsia="Times New Roman" w:hAnsi="Times New Roman" w:cs="Times New Roman"/>
          <w:sz w:val="24"/>
          <w:szCs w:val="24"/>
          <w:lang w:val="pt-BR"/>
        </w:rPr>
        <w:t xml:space="preserve">Nunes, A. J. A. (2007). Breve reflexão sobre o chamado estado regulador. </w:t>
      </w:r>
      <w:proofErr w:type="spellStart"/>
      <w:r>
        <w:rPr>
          <w:rFonts w:ascii="Times New Roman" w:eastAsia="Times New Roman" w:hAnsi="Times New Roman" w:cs="Times New Roman"/>
          <w:sz w:val="24"/>
          <w:szCs w:val="24"/>
        </w:rPr>
        <w:t>Sequência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Estudos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Jurídicos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Políticos</w:t>
      </w:r>
      <w:proofErr w:type="spellEnd"/>
      <w:r>
        <w:rPr>
          <w:rFonts w:ascii="Times New Roman" w:eastAsia="Times New Roman" w:hAnsi="Times New Roman" w:cs="Times New Roman"/>
          <w:sz w:val="24"/>
          <w:szCs w:val="24"/>
        </w:rPr>
        <w:t xml:space="preserve">, 28(54):9–18. </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Schrefler</w:t>
      </w:r>
      <w:proofErr w:type="spellEnd"/>
      <w:r>
        <w:rPr>
          <w:rFonts w:ascii="Times New Roman" w:eastAsia="Times New Roman" w:hAnsi="Times New Roman" w:cs="Times New Roman"/>
          <w:sz w:val="24"/>
          <w:szCs w:val="24"/>
        </w:rPr>
        <w:t>, L. (2010). The usage of scientific knowledge by independent regulatory agencies. Governance, 23(2):309–330.</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Shapiro, M. (2002). Judicial delegation doctrines: the us, </w:t>
      </w:r>
      <w:proofErr w:type="spellStart"/>
      <w:proofErr w:type="gramStart"/>
      <w:r>
        <w:rPr>
          <w:rFonts w:ascii="Times New Roman" w:eastAsia="Times New Roman" w:hAnsi="Times New Roman" w:cs="Times New Roman"/>
          <w:sz w:val="24"/>
          <w:szCs w:val="24"/>
        </w:rPr>
        <w:t>britain</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france</w:t>
      </w:r>
      <w:proofErr w:type="spellEnd"/>
      <w:r>
        <w:rPr>
          <w:rFonts w:ascii="Times New Roman" w:eastAsia="Times New Roman" w:hAnsi="Times New Roman" w:cs="Times New Roman"/>
          <w:sz w:val="24"/>
          <w:szCs w:val="24"/>
        </w:rPr>
        <w:t xml:space="preserve">. West European Politics, 25(1):173–199. </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Spiller, P. T. (1990). Politicians, interest groups, and regulators: A multiple-principals agency theory of regulation, or” let them be bribed”. The Journal of Law and Economics, 33(1):65–101. </w:t>
      </w:r>
    </w:p>
    <w:p w:rsidR="00C263B8" w:rsidRDefault="00C0441B">
      <w:pPr>
        <w:pBdr>
          <w:top w:val="nil"/>
          <w:left w:val="nil"/>
          <w:bottom w:val="nil"/>
          <w:right w:val="nil"/>
          <w:between w:val="nil"/>
        </w:pBdr>
        <w:spacing w:before="0" w:after="0" w:line="360" w:lineRule="auto"/>
        <w:ind w:left="284"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Wu, I. (2008). Who regulates phones, television, and the internet? </w:t>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makes a communications regulator independent and why it matters. Perspectives on politics, 6(4):769– 783.</w:t>
      </w:r>
    </w:p>
    <w:sectPr w:rsidR="00C263B8">
      <w:headerReference w:type="default" r:id="rId14"/>
      <w:pgSz w:w="11906" w:h="16838"/>
      <w:pgMar w:top="1417" w:right="1701" w:bottom="1417"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AB2" w:rsidRDefault="00B31AB2">
      <w:pPr>
        <w:spacing w:before="0" w:after="0" w:line="240" w:lineRule="auto"/>
      </w:pPr>
      <w:r>
        <w:separator/>
      </w:r>
    </w:p>
  </w:endnote>
  <w:endnote w:type="continuationSeparator" w:id="0">
    <w:p w:rsidR="00B31AB2" w:rsidRDefault="00B31A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AB2" w:rsidRDefault="00B31AB2">
      <w:pPr>
        <w:spacing w:before="0" w:after="0" w:line="240" w:lineRule="auto"/>
      </w:pPr>
      <w:r>
        <w:separator/>
      </w:r>
    </w:p>
  </w:footnote>
  <w:footnote w:type="continuationSeparator" w:id="0">
    <w:p w:rsidR="00B31AB2" w:rsidRDefault="00B31A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41B" w:rsidRDefault="00C0441B">
    <w:pPr>
      <w:shd w:val="clear" w:color="auto" w:fill="FFFFFF"/>
      <w:spacing w:before="0" w:after="0" w:line="360" w:lineRule="auto"/>
      <w:ind w:firstLine="0"/>
      <w:jc w:val="center"/>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 xml:space="preserve">Unpacking the Complexity of Regulatory Governance in a </w:t>
    </w:r>
    <w:proofErr w:type="spellStart"/>
    <w:r>
      <w:rPr>
        <w:rFonts w:ascii="Times New Roman" w:eastAsia="Times New Roman" w:hAnsi="Times New Roman" w:cs="Times New Roman"/>
        <w:b/>
        <w:color w:val="222222"/>
        <w:sz w:val="20"/>
        <w:szCs w:val="20"/>
        <w:highlight w:val="white"/>
      </w:rPr>
      <w:t>Globalising</w:t>
    </w:r>
    <w:proofErr w:type="spellEnd"/>
    <w:r>
      <w:rPr>
        <w:rFonts w:ascii="Times New Roman" w:eastAsia="Times New Roman" w:hAnsi="Times New Roman" w:cs="Times New Roman"/>
        <w:b/>
        <w:color w:val="222222"/>
        <w:sz w:val="20"/>
        <w:szCs w:val="20"/>
        <w:highlight w:val="white"/>
      </w:rPr>
      <w:t xml:space="preserve"> World: An International Conference to inaugurate a Global Regulatory Governance Research Network</w:t>
    </w:r>
  </w:p>
  <w:p w:rsidR="00C0441B" w:rsidRDefault="00C0441B">
    <w:pPr>
      <w:spacing w:before="0" w:after="0" w:line="360" w:lineRule="auto"/>
      <w:ind w:firstLine="0"/>
      <w:jc w:val="center"/>
      <w:rPr>
        <w:rFonts w:ascii="Times New Roman" w:eastAsia="Times New Roman" w:hAnsi="Times New Roman" w:cs="Times New Roman"/>
        <w:b/>
        <w:sz w:val="20"/>
        <w:szCs w:val="20"/>
      </w:rPr>
    </w:pPr>
    <w:r>
      <w:rPr>
        <w:rFonts w:ascii="Times New Roman" w:eastAsia="Times New Roman" w:hAnsi="Times New Roman" w:cs="Times New Roman"/>
        <w:b/>
        <w:i/>
        <w:color w:val="222222"/>
        <w:sz w:val="20"/>
        <w:szCs w:val="20"/>
        <w:highlight w:val="white"/>
      </w:rPr>
      <w:t xml:space="preserve">Quo Vadis </w:t>
    </w:r>
    <w:r>
      <w:rPr>
        <w:rFonts w:ascii="Times New Roman" w:eastAsia="Times New Roman" w:hAnsi="Times New Roman" w:cs="Times New Roman"/>
        <w:b/>
        <w:color w:val="222222"/>
        <w:sz w:val="20"/>
        <w:szCs w:val="20"/>
        <w:highlight w:val="white"/>
      </w:rPr>
      <w:t>Regulator: Professional careers of Brazilian regulators</w:t>
    </w:r>
  </w:p>
  <w:p w:rsidR="00C0441B" w:rsidRDefault="00C0441B">
    <w:pPr>
      <w:pBdr>
        <w:top w:val="nil"/>
        <w:left w:val="nil"/>
        <w:bottom w:val="nil"/>
        <w:right w:val="nil"/>
        <w:between w:val="nil"/>
      </w:pBdr>
      <w:tabs>
        <w:tab w:val="center" w:pos="4252"/>
        <w:tab w:val="right" w:pos="8504"/>
      </w:tabs>
      <w:spacing w:before="0" w:after="0" w:line="240" w:lineRule="auto"/>
      <w:rPr>
        <w:color w:val="000000"/>
      </w:rPr>
    </w:pPr>
  </w:p>
  <w:p w:rsidR="00C0441B" w:rsidRDefault="00C0441B">
    <w:pPr>
      <w:pBdr>
        <w:top w:val="nil"/>
        <w:left w:val="nil"/>
        <w:bottom w:val="nil"/>
        <w:right w:val="nil"/>
        <w:between w:val="nil"/>
      </w:pBdr>
      <w:tabs>
        <w:tab w:val="center" w:pos="4252"/>
        <w:tab w:val="right" w:pos="8504"/>
      </w:tabs>
      <w:spacing w:before="0"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F6625C"/>
    <w:multiLevelType w:val="hybridMultilevel"/>
    <w:tmpl w:val="68F6127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B8"/>
    <w:rsid w:val="00016091"/>
    <w:rsid w:val="0003111A"/>
    <w:rsid w:val="000414EB"/>
    <w:rsid w:val="000931BE"/>
    <w:rsid w:val="001722A5"/>
    <w:rsid w:val="0041265F"/>
    <w:rsid w:val="00413AB5"/>
    <w:rsid w:val="0041683D"/>
    <w:rsid w:val="006650A1"/>
    <w:rsid w:val="006C2DB8"/>
    <w:rsid w:val="006C5D7A"/>
    <w:rsid w:val="006F1CAF"/>
    <w:rsid w:val="00823BA8"/>
    <w:rsid w:val="00A01637"/>
    <w:rsid w:val="00A320A1"/>
    <w:rsid w:val="00B26114"/>
    <w:rsid w:val="00B31AB2"/>
    <w:rsid w:val="00B8732D"/>
    <w:rsid w:val="00BC10CA"/>
    <w:rsid w:val="00BE0BB9"/>
    <w:rsid w:val="00BF7AA1"/>
    <w:rsid w:val="00C0441B"/>
    <w:rsid w:val="00C263B8"/>
    <w:rsid w:val="00C66DBC"/>
    <w:rsid w:val="00CC3288"/>
    <w:rsid w:val="00CF522E"/>
    <w:rsid w:val="00D2754C"/>
    <w:rsid w:val="00D64AF9"/>
    <w:rsid w:val="00DD113A"/>
    <w:rsid w:val="00E269D0"/>
    <w:rsid w:val="00E96CEC"/>
    <w:rsid w:val="00F24E42"/>
    <w:rsid w:val="00FB4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93701D-FDB0-4B81-B3C5-87409F60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pt-BR" w:bidi="ar-SA"/>
      </w:rPr>
    </w:rPrDefault>
    <w:pPrDefault>
      <w:pPr>
        <w:spacing w:before="120" w:after="12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17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28716">
      <w:bodyDiv w:val="1"/>
      <w:marLeft w:val="0"/>
      <w:marRight w:val="0"/>
      <w:marTop w:val="0"/>
      <w:marBottom w:val="0"/>
      <w:divBdr>
        <w:top w:val="none" w:sz="0" w:space="0" w:color="auto"/>
        <w:left w:val="none" w:sz="0" w:space="0" w:color="auto"/>
        <w:bottom w:val="none" w:sz="0" w:space="0" w:color="auto"/>
        <w:right w:val="none" w:sz="0" w:space="0" w:color="auto"/>
      </w:divBdr>
    </w:div>
    <w:div w:id="374889286">
      <w:bodyDiv w:val="1"/>
      <w:marLeft w:val="0"/>
      <w:marRight w:val="0"/>
      <w:marTop w:val="0"/>
      <w:marBottom w:val="0"/>
      <w:divBdr>
        <w:top w:val="none" w:sz="0" w:space="0" w:color="auto"/>
        <w:left w:val="none" w:sz="0" w:space="0" w:color="auto"/>
        <w:bottom w:val="none" w:sz="0" w:space="0" w:color="auto"/>
        <w:right w:val="none" w:sz="0" w:space="0" w:color="auto"/>
      </w:divBdr>
    </w:div>
    <w:div w:id="530844580">
      <w:bodyDiv w:val="1"/>
      <w:marLeft w:val="0"/>
      <w:marRight w:val="0"/>
      <w:marTop w:val="0"/>
      <w:marBottom w:val="0"/>
      <w:divBdr>
        <w:top w:val="none" w:sz="0" w:space="0" w:color="auto"/>
        <w:left w:val="none" w:sz="0" w:space="0" w:color="auto"/>
        <w:bottom w:val="none" w:sz="0" w:space="0" w:color="auto"/>
        <w:right w:val="none" w:sz="0" w:space="0" w:color="auto"/>
      </w:divBdr>
    </w:div>
    <w:div w:id="2116173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835C3-7EF4-476D-839C-54466B6E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17</Pages>
  <Words>3942</Words>
  <Characters>21288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César</dc:creator>
  <cp:lastModifiedBy>Bruno Araujo</cp:lastModifiedBy>
  <cp:revision>11</cp:revision>
  <dcterms:created xsi:type="dcterms:W3CDTF">2019-05-01T09:31:00Z</dcterms:created>
  <dcterms:modified xsi:type="dcterms:W3CDTF">2019-05-01T12:35:00Z</dcterms:modified>
</cp:coreProperties>
</file>