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Resultados</w:t>
      </w:r>
    </w:p>
    <w:p>
      <w:pPr>
        <w:pStyle w:val="Author"/>
      </w:pPr>
      <w:r>
        <w:t xml:space="preserve">Cristiano</w:t>
      </w:r>
      <w:r>
        <w:t xml:space="preserve"> </w:t>
      </w:r>
      <w:r>
        <w:t xml:space="preserve">Santos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de</w:t>
      </w:r>
      <w:r>
        <w:t xml:space="preserve"> </w:t>
      </w:r>
      <w:r>
        <w:t xml:space="preserve">abril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esultados"/>
      <w:bookmarkEnd w:id="21"/>
      <w:r>
        <w:t xml:space="preserve">Resultados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ados_files/figure-docx/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Fig. 1 Actual and natural rates. The solid line is the actual rate; the dashed line is the natural rate. The shaded areas indicate the NBER recessions</w:t>
      </w:r>
    </w:p>
    <w:p>
      <w:pPr>
        <w:pStyle w:val="BodyText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ados_files/figure-docx/fig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Fig. 2 Gaps. The dashed lines are the 0.025- and 0.975-quantiles. The shaded areas indicate the NBER recessions</w:t>
      </w:r>
    </w:p>
    <w:p>
      <w:pPr>
        <w:pStyle w:val="BodyText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ados_files/figure-docx/fig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Fig. 3 Phillips curve andOkun’s law.The left panels are the scatter plots of the simulated posteriormedians of the gaps in each quarter; the right panels are the simulated posterior pdfs of the correlation coefficients between the gaps</w:t>
      </w:r>
    </w:p>
    <w:p>
      <w:pPr>
        <w:pStyle w:val="BodyText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ados_files/figure-docx/fig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Fig. 4 Posterior probability of positive gap. The shaded areas indicate the NBER recessions</w:t>
      </w:r>
    </w:p>
    <w:p>
      <w:pPr>
        <w:pStyle w:val="BodyText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ados_files/figure-docx/fig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Fig. 5 Posterior probability of recession. The shaded areas indicate the NBER recessions</w:t>
      </w:r>
    </w:p>
    <w:p>
      <w:pPr>
        <w:pStyle w:val="BodyText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ados_files/figure-docx/fig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Fig. 6 Posterior probability of revival. The shaded areas indicate the NBER recessions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4776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Resultados</dc:title>
  <dc:creator>Cristiano Santos</dc:creator>
  <dcterms:created xsi:type="dcterms:W3CDTF">2018-04-21T00:12:07Z</dcterms:created>
  <dcterms:modified xsi:type="dcterms:W3CDTF">2018-04-21T00:12:07Z</dcterms:modified>
</cp:coreProperties>
</file>