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66" w:rsidRDefault="00136666"/>
    <w:p w:rsidR="00136666" w:rsidRPr="00136666" w:rsidRDefault="00136666" w:rsidP="00136666"/>
    <w:p w:rsidR="00136666" w:rsidRPr="00136666" w:rsidRDefault="00136666" w:rsidP="00136666"/>
    <w:p w:rsidR="00136666" w:rsidRPr="00136666" w:rsidRDefault="00136666" w:rsidP="00136666"/>
    <w:p w:rsidR="00136666" w:rsidRPr="00136666" w:rsidRDefault="00136666" w:rsidP="00136666"/>
    <w:p w:rsidR="00136666" w:rsidRPr="00136666" w:rsidRDefault="00136666" w:rsidP="00136666"/>
    <w:p w:rsidR="00136666" w:rsidRPr="00136666" w:rsidRDefault="00136666" w:rsidP="00136666"/>
    <w:p w:rsidR="00136666" w:rsidRPr="00136666" w:rsidRDefault="00136666" w:rsidP="00136666"/>
    <w:p w:rsidR="00136666" w:rsidRPr="00136666" w:rsidRDefault="00136666" w:rsidP="00136666"/>
    <w:p w:rsidR="00136666" w:rsidRPr="00136666" w:rsidRDefault="00136666" w:rsidP="00136666"/>
    <w:p w:rsidR="00136666" w:rsidRPr="00136666" w:rsidRDefault="00136666" w:rsidP="00136666"/>
    <w:p w:rsidR="00136666" w:rsidRDefault="00136666" w:rsidP="00136666"/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23"/>
        <w:gridCol w:w="13377"/>
      </w:tblGrid>
      <w:tr w:rsidR="00136666">
        <w:tblPrEx>
          <w:tblCellMar>
            <w:top w:w="0" w:type="dxa"/>
            <w:bottom w:w="0" w:type="dxa"/>
          </w:tblCellMar>
        </w:tblPrEx>
        <w:tc>
          <w:tcPr>
            <w:tcW w:w="93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loess {stats}</w:t>
            </w:r>
          </w:p>
        </w:tc>
        <w:tc>
          <w:tcPr>
            <w:tcW w:w="132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Local Polynomial Regression Fitting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Fit a polynomial surface determined by one or more numerical predictors, using local fitting.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loess(formula, data, weights, subset, na.action, model = FALSE,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span = 0.75, enp.target, degree = 2,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parametric = FALSE, drop.square = FALSE, normalize = TRUE,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family = c("gaussian", "symmetric"),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method = c("loess", "model.frame"),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control = loess.control(...), ...)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20880"/>
      </w:tblGrid>
      <w:tr w:rsidR="00136666">
        <w:tblPrEx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formula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</w:t>
            </w:r>
            <w:hyperlink r:id="rId5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formula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specifying the numeric response and one to four numeric predictors (best specified via an interaction, but can also be specified additively). Will be coerced to a formula if necessary.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data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optional data frame, list or environment (or object coercible by </w:t>
            </w:r>
            <w:hyperlink r:id="rId6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as.data.frame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to a data frame) containing the variables in the model. If not found 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data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the variables are taken from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environment(formula)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typically the environment from which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loess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called.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weights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optional weights for each case.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subset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 optional specification of a subset of the data to be used.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na.action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action to be taken with missing values in the response or predictors. The default is given by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getOption("na.action")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model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should the model frame be returned?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span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parameter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α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which controls the degree of smoothing.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enp.target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alternative way to specify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span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, as the approximate equivalent number of parameters to be used.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degree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degree of the polynomials to be used, normally 1 or 2. (Degree 0 is also allowed, but see the ‘Note’.)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parametri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c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lastRenderedPageBreak/>
              <w:t xml:space="preserve">should any terms be fitted globally rather than locally? Terms can be specified by name, number or as a logical vector of the same length as the number of 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lastRenderedPageBreak/>
              <w:t>predictors.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drop.square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for fits with more than one predictor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degree = 2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should the quadratic term be dropped for particular predictors? Terms are specified in the same way as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parametric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normalize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should the predictors be normalized to a common scale if there is more than one? The normalization used is to set the 10% trimmed standard deviation to one. Set to false for spatial coordinate predictors and others known to be on a common scale.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family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"gaussian"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fitting is by least-squares, and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"symmetric"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 re-descending M estimator is used with Tukey's biweight function. Can be abbreviated.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method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fit the model or just extract the model frame. Can be abbreviated.</w:t>
            </w:r>
          </w:p>
        </w:tc>
      </w:tr>
      <w:tr w:rsidR="0013666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control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control parameters: see </w:t>
            </w:r>
            <w:hyperlink r:id="rId7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loess.control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136666">
        <w:tblPrEx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36666" w:rsidRDefault="0013666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control parameters can also be supplied directly (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if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control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not specified).</w:t>
            </w:r>
          </w:p>
        </w:tc>
      </w:tr>
    </w:tbl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Fitting is done locally. That is, for the fit at point </w:t>
      </w:r>
      <w:r>
        <w:rPr>
          <w:rFonts w:ascii="Times" w:hAnsi="Times" w:cs="Times"/>
          <w:i/>
          <w:iCs/>
          <w:sz w:val="32"/>
          <w:szCs w:val="32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, the fit is made using points in a neighbourhood of </w:t>
      </w:r>
      <w:r>
        <w:rPr>
          <w:rFonts w:ascii="Times" w:hAnsi="Times" w:cs="Times"/>
          <w:i/>
          <w:iCs/>
          <w:sz w:val="32"/>
          <w:szCs w:val="32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, weighted by their distance from </w:t>
      </w:r>
      <w:r>
        <w:rPr>
          <w:rFonts w:ascii="Times" w:hAnsi="Times" w:cs="Times"/>
          <w:i/>
          <w:iCs/>
          <w:sz w:val="32"/>
          <w:szCs w:val="32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(with differences in ‘parametric’ variables being ignored when computing the distance). The size of the neighbourhood is controlled by </w:t>
      </w:r>
      <w:r>
        <w:rPr>
          <w:rFonts w:ascii="Times" w:hAnsi="Times" w:cs="Times"/>
          <w:i/>
          <w:iCs/>
          <w:sz w:val="32"/>
          <w:szCs w:val="32"/>
          <w:lang w:val="es-ES"/>
        </w:rPr>
        <w:t>α</w:t>
      </w:r>
      <w:r>
        <w:rPr>
          <w:rFonts w:ascii="Times" w:hAnsi="Times" w:cs="Times"/>
          <w:sz w:val="32"/>
          <w:szCs w:val="32"/>
          <w:lang w:val="es-ES"/>
        </w:rPr>
        <w:t xml:space="preserve"> (set by </w:t>
      </w:r>
      <w:r>
        <w:rPr>
          <w:rFonts w:ascii="Courier" w:hAnsi="Courier" w:cs="Courier"/>
          <w:sz w:val="26"/>
          <w:szCs w:val="26"/>
          <w:lang w:val="es-ES"/>
        </w:rPr>
        <w:t>span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enp.target</w:t>
      </w:r>
      <w:r>
        <w:rPr>
          <w:rFonts w:ascii="Times" w:hAnsi="Times" w:cs="Times"/>
          <w:sz w:val="32"/>
          <w:szCs w:val="32"/>
          <w:lang w:val="es-ES"/>
        </w:rPr>
        <w:t xml:space="preserve">). For </w:t>
      </w:r>
      <w:r>
        <w:rPr>
          <w:rFonts w:ascii="Times" w:hAnsi="Times" w:cs="Times"/>
          <w:i/>
          <w:iCs/>
          <w:sz w:val="32"/>
          <w:szCs w:val="32"/>
          <w:lang w:val="es-ES"/>
        </w:rPr>
        <w:t>α &lt; 1</w:t>
      </w:r>
      <w:r>
        <w:rPr>
          <w:rFonts w:ascii="Times" w:hAnsi="Times" w:cs="Times"/>
          <w:sz w:val="32"/>
          <w:szCs w:val="32"/>
          <w:lang w:val="es-ES"/>
        </w:rPr>
        <w:t xml:space="preserve">, the neighbourhood includes proportion </w:t>
      </w:r>
      <w:r>
        <w:rPr>
          <w:rFonts w:ascii="Times" w:hAnsi="Times" w:cs="Times"/>
          <w:i/>
          <w:iCs/>
          <w:sz w:val="32"/>
          <w:szCs w:val="32"/>
          <w:lang w:val="es-ES"/>
        </w:rPr>
        <w:t>α</w:t>
      </w:r>
      <w:r>
        <w:rPr>
          <w:rFonts w:ascii="Times" w:hAnsi="Times" w:cs="Times"/>
          <w:sz w:val="32"/>
          <w:szCs w:val="32"/>
          <w:lang w:val="es-ES"/>
        </w:rPr>
        <w:t xml:space="preserve"> of the points, and these have tricubic weighting (proportional to </w:t>
      </w:r>
      <w:r>
        <w:rPr>
          <w:rFonts w:ascii="Times" w:hAnsi="Times" w:cs="Times"/>
          <w:i/>
          <w:iCs/>
          <w:sz w:val="32"/>
          <w:szCs w:val="32"/>
          <w:lang w:val="es-ES"/>
        </w:rPr>
        <w:t>(1 - (dist/maxdist)^3)^3</w:t>
      </w:r>
      <w:r>
        <w:rPr>
          <w:rFonts w:ascii="Times" w:hAnsi="Times" w:cs="Times"/>
          <w:sz w:val="32"/>
          <w:szCs w:val="32"/>
          <w:lang w:val="es-ES"/>
        </w:rPr>
        <w:t xml:space="preserve">). For </w:t>
      </w:r>
      <w:r>
        <w:rPr>
          <w:rFonts w:ascii="Times" w:hAnsi="Times" w:cs="Times"/>
          <w:i/>
          <w:iCs/>
          <w:sz w:val="32"/>
          <w:szCs w:val="32"/>
          <w:lang w:val="es-ES"/>
        </w:rPr>
        <w:t>α &gt; 1</w:t>
      </w:r>
      <w:r>
        <w:rPr>
          <w:rFonts w:ascii="Times" w:hAnsi="Times" w:cs="Times"/>
          <w:sz w:val="32"/>
          <w:szCs w:val="32"/>
          <w:lang w:val="es-ES"/>
        </w:rPr>
        <w:t xml:space="preserve">, all points are used, with the ‘maximum distance’ assumed to be </w:t>
      </w:r>
      <w:r>
        <w:rPr>
          <w:rFonts w:ascii="Times" w:hAnsi="Times" w:cs="Times"/>
          <w:i/>
          <w:iCs/>
          <w:sz w:val="32"/>
          <w:szCs w:val="32"/>
          <w:lang w:val="es-ES"/>
        </w:rPr>
        <w:t>α^(1/p)</w:t>
      </w:r>
      <w:r>
        <w:rPr>
          <w:rFonts w:ascii="Times" w:hAnsi="Times" w:cs="Times"/>
          <w:sz w:val="32"/>
          <w:szCs w:val="32"/>
          <w:lang w:val="es-ES"/>
        </w:rPr>
        <w:t xml:space="preserve"> times the actual maximum distance for </w:t>
      </w:r>
      <w:r>
        <w:rPr>
          <w:rFonts w:ascii="Times" w:hAnsi="Times" w:cs="Times"/>
          <w:i/>
          <w:iCs/>
          <w:sz w:val="32"/>
          <w:szCs w:val="32"/>
          <w:lang w:val="es-ES"/>
        </w:rPr>
        <w:t>p</w:t>
      </w:r>
      <w:r>
        <w:rPr>
          <w:rFonts w:ascii="Times" w:hAnsi="Times" w:cs="Times"/>
          <w:sz w:val="32"/>
          <w:szCs w:val="32"/>
          <w:lang w:val="es-ES"/>
        </w:rPr>
        <w:t xml:space="preserve"> explanatory variables.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the default family, fitting is by (weighted) least squares. For </w:t>
      </w:r>
      <w:r>
        <w:rPr>
          <w:rFonts w:ascii="Courier" w:hAnsi="Courier" w:cs="Courier"/>
          <w:sz w:val="26"/>
          <w:szCs w:val="26"/>
          <w:lang w:val="es-ES"/>
        </w:rPr>
        <w:t>family="symmetric"</w:t>
      </w:r>
      <w:r>
        <w:rPr>
          <w:rFonts w:ascii="Times" w:hAnsi="Times" w:cs="Times"/>
          <w:sz w:val="32"/>
          <w:szCs w:val="32"/>
          <w:lang w:val="es-ES"/>
        </w:rPr>
        <w:t xml:space="preserve"> a few iterations of an M-estimation procedure with Tukey's biweight are used. Be aware that as the initial value is the least-squares fit, this need not be a very resistant fit.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It can be important to tune the control list to achieve acceptable speed. See </w:t>
      </w: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loess.control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details.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An object of class </w:t>
      </w:r>
      <w:r>
        <w:rPr>
          <w:rFonts w:ascii="Courier" w:hAnsi="Courier" w:cs="Courier"/>
          <w:sz w:val="26"/>
          <w:szCs w:val="26"/>
          <w:lang w:val="es-ES"/>
        </w:rPr>
        <w:t>"loess"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As this is based on </w:t>
      </w:r>
      <w:r>
        <w:rPr>
          <w:rFonts w:ascii="Courier" w:hAnsi="Courier" w:cs="Courier"/>
          <w:sz w:val="26"/>
          <w:szCs w:val="26"/>
          <w:lang w:val="es-ES"/>
        </w:rPr>
        <w:t>cloess</w:t>
      </w:r>
      <w:r>
        <w:rPr>
          <w:rFonts w:ascii="Times" w:hAnsi="Times" w:cs="Times"/>
          <w:sz w:val="32"/>
          <w:szCs w:val="32"/>
          <w:lang w:val="es-ES"/>
        </w:rPr>
        <w:t xml:space="preserve">, it is similar to but not identical to the </w:t>
      </w:r>
      <w:r>
        <w:rPr>
          <w:rFonts w:ascii="Courier" w:hAnsi="Courier" w:cs="Courier"/>
          <w:sz w:val="26"/>
          <w:szCs w:val="26"/>
          <w:lang w:val="es-ES"/>
        </w:rPr>
        <w:t>loess</w:t>
      </w:r>
      <w:r>
        <w:rPr>
          <w:rFonts w:ascii="Times" w:hAnsi="Times" w:cs="Times"/>
          <w:sz w:val="32"/>
          <w:szCs w:val="32"/>
          <w:lang w:val="es-ES"/>
        </w:rPr>
        <w:t xml:space="preserve"> function of S. In particular, conditioning is not implemented.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memory usage of this implementation of </w:t>
      </w:r>
      <w:r>
        <w:rPr>
          <w:rFonts w:ascii="Courier" w:hAnsi="Courier" w:cs="Courier"/>
          <w:sz w:val="26"/>
          <w:szCs w:val="26"/>
          <w:lang w:val="es-ES"/>
        </w:rPr>
        <w:t>loess</w:t>
      </w:r>
      <w:r>
        <w:rPr>
          <w:rFonts w:ascii="Times" w:hAnsi="Times" w:cs="Times"/>
          <w:sz w:val="32"/>
          <w:szCs w:val="32"/>
          <w:lang w:val="es-ES"/>
        </w:rPr>
        <w:t xml:space="preserve"> is roughly quadratic in the number of points, with 1000 points taking about 10Mb.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degree = 0</w:t>
      </w:r>
      <w:r>
        <w:rPr>
          <w:rFonts w:ascii="Times" w:hAnsi="Times" w:cs="Times"/>
          <w:sz w:val="32"/>
          <w:szCs w:val="32"/>
          <w:lang w:val="es-ES"/>
        </w:rPr>
        <w:t>, local constant fitting, is allowed in this implementation but not documented in the reference. It seems very little tested, so use with caution.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Author(s)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B. D. Ripley, based on the </w:t>
      </w:r>
      <w:r>
        <w:rPr>
          <w:rFonts w:ascii="Courier" w:hAnsi="Courier" w:cs="Courier"/>
          <w:sz w:val="26"/>
          <w:szCs w:val="26"/>
          <w:lang w:val="es-ES"/>
        </w:rPr>
        <w:t>cloess</w:t>
      </w:r>
      <w:r>
        <w:rPr>
          <w:rFonts w:ascii="Times" w:hAnsi="Times" w:cs="Times"/>
          <w:sz w:val="32"/>
          <w:szCs w:val="32"/>
          <w:lang w:val="es-ES"/>
        </w:rPr>
        <w:t xml:space="preserve"> package of Cleveland, Grosse and Shyu.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Source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1998 version of </w:t>
      </w:r>
      <w:r>
        <w:rPr>
          <w:rFonts w:ascii="Courier" w:hAnsi="Courier" w:cs="Courier"/>
          <w:sz w:val="26"/>
          <w:szCs w:val="26"/>
          <w:lang w:val="es-ES"/>
        </w:rPr>
        <w:t>cloess</w:t>
      </w:r>
      <w:r>
        <w:rPr>
          <w:rFonts w:ascii="Times" w:hAnsi="Times" w:cs="Times"/>
          <w:sz w:val="32"/>
          <w:szCs w:val="32"/>
          <w:lang w:val="es-ES"/>
        </w:rPr>
        <w:t xml:space="preserve"> package of Cleveland, Grosse and Shyu. A later version is available as </w:t>
      </w:r>
      <w:r>
        <w:rPr>
          <w:rFonts w:ascii="Courier" w:hAnsi="Courier" w:cs="Courier"/>
          <w:sz w:val="26"/>
          <w:szCs w:val="26"/>
          <w:lang w:val="es-ES"/>
        </w:rPr>
        <w:t>dloess</w:t>
      </w:r>
      <w:r>
        <w:rPr>
          <w:rFonts w:ascii="Times" w:hAnsi="Times" w:cs="Times"/>
          <w:sz w:val="32"/>
          <w:szCs w:val="32"/>
          <w:lang w:val="es-ES"/>
        </w:rPr>
        <w:t xml:space="preserve"> at </w:t>
      </w:r>
      <w:hyperlink r:id="rId9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http://www.netlib.org/a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W. S. Cleveland, E. Grosse and W. M. Shyu (1992) Local regression models. Chapter 8 of </w:t>
      </w:r>
      <w:r>
        <w:rPr>
          <w:rFonts w:ascii="Times" w:hAnsi="Times" w:cs="Times"/>
          <w:i/>
          <w:iCs/>
          <w:sz w:val="32"/>
          <w:szCs w:val="32"/>
          <w:lang w:val="es-ES"/>
        </w:rPr>
        <w:t>Statistical Models in S</w:t>
      </w:r>
      <w:r>
        <w:rPr>
          <w:rFonts w:ascii="Times" w:hAnsi="Times" w:cs="Times"/>
          <w:sz w:val="32"/>
          <w:szCs w:val="32"/>
          <w:lang w:val="es-ES"/>
        </w:rPr>
        <w:t xml:space="preserve"> eds J.M. Chambers and T.J. Hastie, Wadsworth &amp; Brooks/Cole.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loess.control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predict.loess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lowess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the ancestor of </w:t>
      </w:r>
      <w:r>
        <w:rPr>
          <w:rFonts w:ascii="Courier" w:hAnsi="Courier" w:cs="Courier"/>
          <w:sz w:val="26"/>
          <w:szCs w:val="26"/>
          <w:lang w:val="es-ES"/>
        </w:rPr>
        <w:t>loess</w:t>
      </w:r>
      <w:r>
        <w:rPr>
          <w:rFonts w:ascii="Times" w:hAnsi="Times" w:cs="Times"/>
          <w:sz w:val="32"/>
          <w:szCs w:val="32"/>
          <w:lang w:val="es-ES"/>
        </w:rPr>
        <w:t xml:space="preserve"> (with different defaults!).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cars.lo &lt;- loess(dist ~ speed, cars)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predict(cars.lo, data.frame(speed = seq(5, 30, 1)), se = TRUE)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 to allow extrapolation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cars.lo2 &lt;- loess(dist ~ speed, cars,</w:t>
      </w:r>
    </w:p>
    <w:p w:rsidR="00136666" w:rsidRDefault="00136666" w:rsidP="0013666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control = loess.control(surface = "direct"))</w:t>
      </w:r>
    </w:p>
    <w:p w:rsidR="00914BAC" w:rsidRPr="00136666" w:rsidRDefault="00136666" w:rsidP="00136666">
      <w:r>
        <w:rPr>
          <w:rFonts w:ascii="Courier" w:hAnsi="Courier" w:cs="Courier"/>
          <w:sz w:val="26"/>
          <w:szCs w:val="26"/>
          <w:lang w:val="es-ES"/>
        </w:rPr>
        <w:t>predict(cars.lo2, data.frame(speed = seq(5, 30, 1)), se = TRUE)</w:t>
      </w:r>
      <w:bookmarkStart w:id="0" w:name="_GoBack"/>
      <w:bookmarkEnd w:id="0"/>
    </w:p>
    <w:sectPr w:rsidR="00914BAC" w:rsidRPr="00136666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66"/>
    <w:rsid w:val="000C3DE4"/>
    <w:rsid w:val="00136666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stats/help/predict.loess" TargetMode="External"/><Relationship Id="rId12" Type="http://schemas.openxmlformats.org/officeDocument/2006/relationships/hyperlink" Target="http://127.0.0.1:14695/library/stats/help/lowes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stats/help/formula" TargetMode="External"/><Relationship Id="rId6" Type="http://schemas.openxmlformats.org/officeDocument/2006/relationships/hyperlink" Target="http://127.0.0.1:14695/library/stats/help/as.data.frame" TargetMode="External"/><Relationship Id="rId7" Type="http://schemas.openxmlformats.org/officeDocument/2006/relationships/hyperlink" Target="http://127.0.0.1:14695/library/stats/help/loess.control" TargetMode="External"/><Relationship Id="rId8" Type="http://schemas.openxmlformats.org/officeDocument/2006/relationships/hyperlink" Target="http://127.0.0.1:14695/library/stats/help/loess.control" TargetMode="External"/><Relationship Id="rId9" Type="http://schemas.openxmlformats.org/officeDocument/2006/relationships/hyperlink" Target="http://www.netlib.org/a" TargetMode="External"/><Relationship Id="rId10" Type="http://schemas.openxmlformats.org/officeDocument/2006/relationships/hyperlink" Target="http://127.0.0.1:14695/library/stats/help/loess.contro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4477</Characters>
  <Application>Microsoft Macintosh Word</Application>
  <DocSecurity>0</DocSecurity>
  <Lines>37</Lines>
  <Paragraphs>10</Paragraphs>
  <ScaleCrop>false</ScaleCrop>
  <Company>Instituto de Neurobiologia</Company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2018-01-08T21:28:00Z</dcterms:created>
  <dcterms:modified xsi:type="dcterms:W3CDTF">2018-01-08T21:28:00Z</dcterms:modified>
</cp:coreProperties>
</file>