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Intro_Applied_Nonlinear_Dyna_Sys_Chaos_2E_Stephen_PREF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Preface to the Second Edition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This edition contains a significant amount of new material. The main reason for this is that the subject of applied dynamical systems theory has seen explosive growth and expansion throughout the 1990s. Consequently, a student needs a much larger toolbox today in order to begin research on significant problems.</w:t>
      </w:r>
    </w:p>
    <w:p w:rsidR="00000000" w:rsidDel="00000000" w:rsidP="00000000" w:rsidRDefault="00000000" w:rsidRPr="00000000" w14:paraId="00000006">
      <w:pPr>
        <w:rPr>
          <w:sz w:val="24"/>
          <w:szCs w:val="24"/>
        </w:rPr>
      </w:pPr>
      <w:r w:rsidDel="00000000" w:rsidR="00000000" w:rsidRPr="00000000">
        <w:rPr>
          <w:sz w:val="24"/>
          <w:szCs w:val="24"/>
          <w:rtl w:val="0"/>
        </w:rPr>
        <w:t xml:space="preserve">—--------------------------------------------------------</w:t>
      </w:r>
    </w:p>
    <w:p w:rsidR="00000000" w:rsidDel="00000000" w:rsidP="00000000" w:rsidRDefault="00000000" w:rsidRPr="00000000" w14:paraId="00000007">
      <w:pPr>
        <w:rPr>
          <w:color w:val="a64d79"/>
          <w:sz w:val="24"/>
          <w:szCs w:val="24"/>
        </w:rPr>
      </w:pPr>
      <w:r w:rsidDel="00000000" w:rsidR="00000000" w:rsidRPr="00000000">
        <w:rPr>
          <w:color w:val="a64d79"/>
          <w:sz w:val="24"/>
          <w:szCs w:val="24"/>
          <w:rtl w:val="0"/>
        </w:rPr>
        <w:t xml:space="preserve">Esta edición contiene una cantidad significativa de material nuevo. La razón principal de esto es que el tema de la teoría de sistemas dinámicos aplicados ha experimentado un crecimiento y una expansión explosivos a lo largo de la década de 1990. En consecuencia, un estudiante necesita hoy una caja de herramientas mucho más grande para comenzar a investigar problemas significativos.</w:t>
      </w:r>
    </w:p>
    <w:p w:rsidR="00000000" w:rsidDel="00000000" w:rsidP="00000000" w:rsidRDefault="00000000" w:rsidRPr="00000000" w14:paraId="00000008">
      <w:pPr>
        <w:rPr>
          <w:sz w:val="24"/>
          <w:szCs w:val="24"/>
        </w:rPr>
      </w:pPr>
      <w:r w:rsidDel="00000000" w:rsidR="00000000" w:rsidRPr="00000000">
        <w:rPr>
          <w:sz w:val="24"/>
          <w:szCs w:val="24"/>
          <w:rtl w:val="0"/>
        </w:rPr>
        <w:t xml:space="preserv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I also try to emphasize a broader and more unified point of view. My goal is to treat dissipative and conservative dynamics, discrete and continuous time systems, and local and global behavior, as much as possible, on the same footing. Many textbooks tend to treat most of these issues separately (e.g., dissipative, discrete time, local dynamics; global dynamics of continuous time conservative systems, etc.). However, in research one generally needs to have an understanding of each of these areas, and their inter-relations. </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color w:val="a64d79"/>
          <w:sz w:val="24"/>
          <w:szCs w:val="24"/>
        </w:rPr>
      </w:pPr>
      <w:r w:rsidDel="00000000" w:rsidR="00000000" w:rsidRPr="00000000">
        <w:rPr>
          <w:color w:val="a64d79"/>
          <w:sz w:val="24"/>
          <w:szCs w:val="24"/>
          <w:rtl w:val="0"/>
        </w:rPr>
        <w:t xml:space="preserve">También trato de enfatizar un punto de vista más amplio y unificado. Mi objetivo es tratar las dinámicas disipativas y conservativas, los sistemas de tiempo discretos y continuos y el comportamiento local y global, en la medida de lo posible, en pie de igualdad. Muchos libros de texto tienden a tratar la mayoría de estos temas por separado (por ejemplo, tiempo discreto disipativo, dinámica local, dinámica global de sistemas conservadores de tiempo continuo, etc.). Sin embargo, en la investigación generalmente se necesita tener una comprensión de cada una de estas áreas y sus interrelaciones.</w:t>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For example, in studying a conservative continuous time system, one might study periodic orbits and their stability by passing to a PoincarÅLe map (discrete time). The question of how stability may be affected by dissipative perturbations may naturally arise. Passage to the PoincarÅLe map renders the study of periodic orbits a local problem (i.e., they are fixed points of the PoincarÅLe map), but their manifestation in the continuous time problem may have global implications. An ability to put together a “big picture” from many (seemingly) disparate pieces of information is crucial for the successful analysis of nonlinear dynamical systems.</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color w:val="a64d79"/>
          <w:sz w:val="24"/>
          <w:szCs w:val="24"/>
        </w:rPr>
      </w:pPr>
      <w:r w:rsidDel="00000000" w:rsidR="00000000" w:rsidRPr="00000000">
        <w:rPr>
          <w:color w:val="a64d79"/>
          <w:sz w:val="24"/>
          <w:szCs w:val="24"/>
          <w:rtl w:val="0"/>
        </w:rPr>
        <w:t xml:space="preserve">Por ejemplo, al estudiar un sistema de tiempo continuo conservador, uno podría estudiar órbitas periódicas y su estabilidad pasando a un mapa de PoincarÅLe (tiempo discreto). La cuestión de cómo la estabilidad puede verse afectada por las perturbaciones disipativas puede surgir naturalmente. El paso al mapa de PoincarÅLe convierte el estudio de las órbitas periódicas en un problema local (es decir, son puntos fijos del mapa de PoincarÅLe), pero su manifestación en el problema del tiempo continuo puede tener implicaciones globales. La capacidad de armar un "panorama general" a partir de muchas piezas de información (aparentemente) dispares es crucial para el análisis exitoso de sistemas dinámicos no lineales.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This edition has seen a major restructuring with respect to the first edition in terms of the organization of the chapters into smaller units with a single, common theme, and the exercises relevant to each chapter now being given at the end of the respective chapter.</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a64d79"/>
          <w:sz w:val="24"/>
          <w:szCs w:val="24"/>
        </w:rPr>
      </w:pPr>
      <w:r w:rsidDel="00000000" w:rsidR="00000000" w:rsidRPr="00000000">
        <w:rPr>
          <w:color w:val="a64d79"/>
          <w:sz w:val="24"/>
          <w:szCs w:val="24"/>
          <w:rtl w:val="0"/>
        </w:rPr>
        <w:t xml:space="preserve">Esta edición ha experimentado una importante reestructuración con respecto a la primera edición en cuanto a la organización de los capítulos en unidades más pequeñas con un único tema común, y los ejercicios relevantes para cada capítulo ahora se dan al final del capítulo respectivo.</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bulk of the material in this book can be covered in three ten week terms. This is an ambitious program, and requires relegating some of the material to background reading (described below). My goal was to have the necessary background material side-by-side with the material that I would lecture on. This tends to be more demanding on the student, but with the right guidance, it also tends to be more rewarding and lead to a deeper understanding and appreciation of the subject.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a64d79"/>
          <w:sz w:val="24"/>
          <w:szCs w:val="24"/>
        </w:rPr>
      </w:pPr>
      <w:r w:rsidDel="00000000" w:rsidR="00000000" w:rsidRPr="00000000">
        <w:rPr>
          <w:color w:val="a64d79"/>
          <w:sz w:val="24"/>
          <w:szCs w:val="24"/>
          <w:rtl w:val="0"/>
        </w:rPr>
        <w:t xml:space="preserve">La mayor parte del material de este libro se puede cubrir en tres períodos de diez semanas. Este es un programa ambicioso y requiere relegar parte del material a la lectura de fondo (descrito a continuación). Mi objetivo era tener el material de base necesario junto con el material sobre el que daría una conferencia. Esto tiende a ser más exigente para el estudiante, pero con la orientación adecuada, también tiende a ser más gratificante y conduce a una comprensión y apreciación más profundas del tema.</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The mathematical prerequisites for the course are really not great; elementary analysis, multivariable calculus, and linear algebra are sufficient. In reality, this may not be enough on its own. A successful understanding of applied dynamical systems theory requires the students to have an inte grated knowledge of these prerequisites in the sense that they can fluidly manipulate and use the ideas between the subjects. This means they must possess the quality often referred to as “mathematical maturity.” A study of dynamical systems theory can be a good way to obtain this. In addition, an ordinary differential equations course from the geometric point of view (e.g., the material in the books of Arnold [1973] or Hirsch and Smale</w:t>
      </w:r>
    </w:p>
    <w:p w:rsidR="00000000" w:rsidDel="00000000" w:rsidP="00000000" w:rsidRDefault="00000000" w:rsidRPr="00000000" w14:paraId="00000027">
      <w:pPr>
        <w:rPr>
          <w:sz w:val="24"/>
          <w:szCs w:val="24"/>
        </w:rPr>
      </w:pPr>
      <w:r w:rsidDel="00000000" w:rsidR="00000000" w:rsidRPr="00000000">
        <w:rPr>
          <w:sz w:val="24"/>
          <w:szCs w:val="24"/>
          <w:rtl w:val="0"/>
        </w:rPr>
        <w:t xml:space="preserve">[1974]) would be ideal.</w:t>
      </w:r>
    </w:p>
    <w:p w:rsidR="00000000" w:rsidDel="00000000" w:rsidP="00000000" w:rsidRDefault="00000000" w:rsidRPr="00000000" w14:paraId="00000028">
      <w:pPr>
        <w:rPr>
          <w:sz w:val="24"/>
          <w:szCs w:val="24"/>
        </w:rPr>
      </w:pPr>
      <w:r w:rsidDel="00000000" w:rsidR="00000000" w:rsidRPr="00000000">
        <w:rPr>
          <w:sz w:val="24"/>
          <w:szCs w:val="24"/>
          <w:rtl w:val="0"/>
        </w:rPr>
        <w:t xml:space="preserve">—--------------------------------------------------------</w:t>
      </w:r>
    </w:p>
    <w:p w:rsidR="00000000" w:rsidDel="00000000" w:rsidP="00000000" w:rsidRDefault="00000000" w:rsidRPr="00000000" w14:paraId="00000029">
      <w:pPr>
        <w:rPr>
          <w:color w:val="a64d79"/>
          <w:sz w:val="24"/>
          <w:szCs w:val="24"/>
        </w:rPr>
      </w:pPr>
      <w:r w:rsidDel="00000000" w:rsidR="00000000" w:rsidRPr="00000000">
        <w:rPr>
          <w:color w:val="a64d79"/>
          <w:sz w:val="24"/>
          <w:szCs w:val="24"/>
          <w:rtl w:val="0"/>
        </w:rPr>
        <w:t xml:space="preserve">Los prerrequisitos matemáticos para el curso no son muy buenos; el análisis elemental, el cálculo multivariable y el álgebra lineal son suficientes. En realidad, esto puede no ser suficiente por sí solo. Una comprensión exitosa de la teoría de sistemas dinámicos aplicada requiere que los estudiantes tengan un conocimiento integrado de estos requisitos previos en el sentido de que puedan manipular y usar las ideas con fluidez entre los sujetos. Esto significa que deben poseer la cualidad a la que a menudo se hace referencia como "madurez matemática". Un estudio de la teoría de sistemas dinámicos puede ser una buena manera de obtener esto. Además, un curso ordinario de ecuaciones diferenciales desde el punto de vista geométrico (por ejemplo, el material de los libros de Arnold [1973] o Hirsch y Smale [1974]) sería ideal.</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Chapters 1-17 form the core of the first term material. It provides students with the basic concepts and tools for the study of dynamical systems theory. I tend to cover chapters 7, 11 and 12 at a brisk pace. The main point there is the ideas and main results. The details can be grasped over time, and in other settings. Chapters 13-17 could be viewed as belonging to the common theme of “dynamical systems with special structure.” Chapter 14 is the most important of these chapters. The relation, and contrasts, between Hamiltonian and reversible systems is useful to understand, and is the reason for including chapter 16. </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color w:val="a64d79"/>
          <w:sz w:val="24"/>
          <w:szCs w:val="24"/>
        </w:rPr>
      </w:pPr>
      <w:r w:rsidDel="00000000" w:rsidR="00000000" w:rsidRPr="00000000">
        <w:rPr>
          <w:color w:val="a64d79"/>
          <w:sz w:val="24"/>
          <w:szCs w:val="24"/>
          <w:rtl w:val="0"/>
        </w:rPr>
        <w:t xml:space="preserve">Los capítulos 1-17 forman el núcleo del material del primer trimestre. Proporciona a los estudiantes los conceptos y herramientas básicos para el estudio de la teoría de sistemas dinámicos. Tiendo a cubrir los capítulos 7, 11 y 12 a un ritmo rápido. El punto principal allí son las ideas y los principales resultados. Los detalles se pueden captar con el tiempo y en otros entornos. Los capítulos 13-17 podrían verse como pertenecientes al tema común de "sistemas dinámicos con estructura especial". El capítulo 14 es el más importante de estos capítulos. Es útil comprender la relación y los contrastes entre los sistemas hamiltoniano y reversible, y es la razón para incluir el capítulo 16.</w:t>
      </w:r>
    </w:p>
    <w:p w:rsidR="00000000" w:rsidDel="00000000" w:rsidP="00000000" w:rsidRDefault="00000000" w:rsidRPr="00000000" w14:paraId="00000030">
      <w:pPr>
        <w:rPr>
          <w:sz w:val="24"/>
          <w:szCs w:val="24"/>
        </w:rPr>
      </w:pPr>
      <w:r w:rsidDel="00000000" w:rsidR="00000000" w:rsidRPr="00000000">
        <w:rPr>
          <w:sz w:val="24"/>
          <w:szCs w:val="24"/>
          <w:rtl w:val="0"/>
        </w:rPr>
        <w:t xml:space="preserv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 often just assign selected background reading from chapter 13, but knowledge of the relation between Lagrangian and Hamiltonian dynamical systems is of growing importance in applications. Gradient dynamical systems arise in numerous applications (e.g., in biologically related areas) and knowledge of the nature of their dynamics, and how it contrasts with, e.g., Hamiltonian dynamics, is important. Chapter 17 is short, but I have always felt that students should be aware of these results because there are numerous examples of systems arising in applications that experience a “transient temporal disturbance.”</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color w:val="a64d79"/>
          <w:sz w:val="24"/>
          <w:szCs w:val="24"/>
        </w:rPr>
      </w:pPr>
      <w:r w:rsidDel="00000000" w:rsidR="00000000" w:rsidRPr="00000000">
        <w:rPr>
          <w:color w:val="a64d79"/>
          <w:sz w:val="24"/>
          <w:szCs w:val="24"/>
          <w:rtl w:val="0"/>
        </w:rPr>
        <w:t xml:space="preserve">A menudo solo asigno lecturas previas seleccionadas del capítulo 13, pero el conocimiento de la relación entre los sistemas dinámicos lagrangianos y hamiltonianos es de creciente importancia en las aplicaciones. Los sistemas dinámicos de gradiente surgen en numerosas aplicaciones (por ejemplo, en áreas biológicamente relacionadas) y es importante conocer la naturaleza de su dinámica y cómo contrasta con, por ejemplo, la dinámica hamiltoniana. El capítulo 17 es breve, pero siempre he sentido que los estudiantes deben estar al tanto de estos resultados porque hay numerosos ejemplos de sistemas que surgen en aplicaciones que experimentan una "perturbación temporal transitoria".</w:t>
      </w:r>
    </w:p>
    <w:p w:rsidR="00000000" w:rsidDel="00000000" w:rsidP="00000000" w:rsidRDefault="00000000" w:rsidRPr="00000000" w14:paraId="00000037">
      <w:pPr>
        <w:rPr>
          <w:sz w:val="24"/>
          <w:szCs w:val="24"/>
        </w:rPr>
      </w:pPr>
      <w:r w:rsidDel="00000000" w:rsidR="00000000" w:rsidRPr="00000000">
        <w:rPr>
          <w:sz w:val="24"/>
          <w:szCs w:val="24"/>
          <w:rtl w:val="0"/>
        </w:rPr>
        <w:t xml:space="preserv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Throughout the early chapters I discuss a number of results and theoretical frameworks for general nonautonomous vector fields (i.e., time-dependent vector fields whose time dependence is not periodic). This area traditionally has not been a part of dynamical systems from a geometric point of view, but this situation is changing rapidly, and I believe it will play an increasingly important role in applications in the near future.</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a64d79"/>
          <w:sz w:val="24"/>
          <w:szCs w:val="24"/>
        </w:rPr>
      </w:pPr>
      <w:r w:rsidDel="00000000" w:rsidR="00000000" w:rsidRPr="00000000">
        <w:rPr>
          <w:color w:val="a64d79"/>
          <w:sz w:val="24"/>
          <w:szCs w:val="24"/>
          <w:rtl w:val="0"/>
        </w:rPr>
        <w:t xml:space="preserve">A lo largo de los primeros capítulos analizo una serie de resultados y marcos teóricos para campos vectoriales no autónomos generales (es decir, campos vectoriales dependientes del tiempo cuya dependencia temporal no es periódica). Esta área tradicionalmente no ha sido parte de los sistemas dinámicos desde un punto de vista geométrico, pero esta situación está cambiando rápidamente y creo que jugará un papel cada vez más importante en las aplicaciones en el futuro cercano.</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Chapters 18-22 are covered in the second term. The subject is “local bifurcation theory.” The two key tools for the local analysis of dynamical systems are center manifold theory and normal form theory, covered in chapters 18 and 19. The chapter on normal form theory is greatly expanded from the first edition. The main new material is the normal form work of Elphick, Tirapegui, Brachet, Coullet and Iooss, a discussion of Hamiltonian normal form theory (following Churchill, Kummer, and Rod), and some material on symmetries (whose possible existence, and implications, should be considered in the course of study of any dynamical system). </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color w:val="a64d79"/>
          <w:sz w:val="24"/>
          <w:szCs w:val="24"/>
        </w:rPr>
      </w:pPr>
      <w:r w:rsidDel="00000000" w:rsidR="00000000" w:rsidRPr="00000000">
        <w:rPr>
          <w:color w:val="a64d79"/>
          <w:sz w:val="24"/>
          <w:szCs w:val="24"/>
          <w:rtl w:val="0"/>
        </w:rPr>
        <w:t xml:space="preserve">Los capítulos 18-22 se cubren en el segundo término. El tema es la "teoría de la bifurcación local". Las dos herramientas clave para el análisis local de los sistemas dinámicos son la teoría de la variedad central y la teoría de la forma normal, que se abordan en los capítulos 18 y 19. El capítulo sobre la teoría de la forma normal se amplía mucho desde la primera edición. El principal material nuevo es el trabajo de forma normal de Elphick, Tirapegui, Brachet, Coullet y Iooss, una discusión de la teoría de la forma normal hamiltoniana (siguiendo a Churchill, Kummer y Rod), y algún material sobre simetrías (cuya posible existencia e implicaciones, deben ser considerados en el curso de estudio de cualquier sistema dinámico).</w:t>
      </w:r>
    </w:p>
    <w:p w:rsidR="00000000" w:rsidDel="00000000" w:rsidP="00000000" w:rsidRDefault="00000000" w:rsidRPr="00000000" w14:paraId="00000045">
      <w:pPr>
        <w:rPr>
          <w:sz w:val="24"/>
          <w:szCs w:val="24"/>
        </w:rPr>
      </w:pP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Possibly sections 19.1-19.3 could have been omitted in this edition; however it has been my experience that students understand the later (and more difficult) material more easily once they have been exposed to this more pedestrian introduction. In chapters 20 and 21 I tend not to cover in much detail the material related to the codimension of a bifurcation and versal deformations. This is a standard language used in discussing the subject and it is important that the students have all the details available to them for background reading and see it in the context of the material I lecture on. New material on Hamiltonian bifurcations and circle maps is included.</w:t>
      </w:r>
    </w:p>
    <w:p w:rsidR="00000000" w:rsidDel="00000000" w:rsidP="00000000" w:rsidRDefault="00000000" w:rsidRPr="00000000" w14:paraId="00000048">
      <w:pPr>
        <w:rPr>
          <w:sz w:val="24"/>
          <w:szCs w:val="24"/>
        </w:rPr>
      </w:pPr>
      <w:r w:rsidDel="00000000" w:rsidR="00000000" w:rsidRPr="00000000">
        <w:rPr>
          <w:sz w:val="24"/>
          <w:szCs w:val="24"/>
          <w:rtl w:val="0"/>
        </w:rPr>
        <w:t xml:space="preserve">—--------------------------------------------------------</w:t>
      </w:r>
    </w:p>
    <w:p w:rsidR="00000000" w:rsidDel="00000000" w:rsidP="00000000" w:rsidRDefault="00000000" w:rsidRPr="00000000" w14:paraId="00000049">
      <w:pPr>
        <w:rPr>
          <w:color w:val="a64d79"/>
          <w:sz w:val="24"/>
          <w:szCs w:val="24"/>
        </w:rPr>
      </w:pPr>
      <w:r w:rsidDel="00000000" w:rsidR="00000000" w:rsidRPr="00000000">
        <w:rPr>
          <w:color w:val="a64d79"/>
          <w:sz w:val="24"/>
          <w:szCs w:val="24"/>
          <w:rtl w:val="0"/>
        </w:rPr>
        <w:t xml:space="preserve">Posiblemente, las secciones 19.1-19.3 podrían haberse omitido en esta edición; sin embargo, según mi experiencia, los estudiantes entienden el material posterior (y más difícil) más fácilmente una vez que han estado expuestos a esta introducción más pedestre. En los capítulos 20 y 21 tiendo a no cubrir con mucho detalle el material relacionado con la codimensión de una bifurcación y deformaciones versales. Este es un lenguaje estándar que se usa en la discusión del tema y es importante que los estudiantes tengan todos los detalles disponibles para lecturas preliminares y verlos en el contexto del material sobre el que diserto. Se incluye material nuevo sobre bifurcaciones hamiltonianas y mapas circulares.</w:t>
      </w:r>
    </w:p>
    <w:p w:rsidR="00000000" w:rsidDel="00000000" w:rsidP="00000000" w:rsidRDefault="00000000" w:rsidRPr="00000000" w14:paraId="0000004A">
      <w:pPr>
        <w:rPr>
          <w:sz w:val="24"/>
          <w:szCs w:val="24"/>
        </w:rPr>
      </w:pP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inclusion of introductory material on Hamiltonian bifurcations is an example of the effort to have a broader and more unified point of view as discussed earlier. For example, we first describe the “generic saddle-node bifurcation at a single zero eigenvalue.” It is then natural to ask about the saddle-node bifurcation in a Hamiltonian system, which turns out to be rather different. Chapter 22 mainly serves as a warning that the way in which bifurcation phenomena are discussed in applications may not agree with the mathematical reality, and appropriate pointers to the literature are given.</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color w:val="a64d79"/>
          <w:sz w:val="24"/>
          <w:szCs w:val="24"/>
        </w:rPr>
      </w:pPr>
      <w:r w:rsidDel="00000000" w:rsidR="00000000" w:rsidRPr="00000000">
        <w:rPr>
          <w:color w:val="a64d79"/>
          <w:sz w:val="24"/>
          <w:szCs w:val="24"/>
          <w:rtl w:val="0"/>
        </w:rPr>
        <w:t xml:space="preserve">La inclusión de material introductorio sobre las bifurcaciones hamiltonianas es un ejemplo del esfuerzo por tener un punto de vista más amplio y unificado, como se discutió anteriormente. Por ejemplo, primero describimos la "bifurcación genérica de nodo de silla de montar en un solo valor propio cero". Entonces es natural preguntarse acerca de la bifurcación silla-nodo en un sistema hamiltoniano, que resulta ser bastante diferente. El capítulo 22 sirve principalmente como una advertencia de que la forma en que se discuten los fenómenos de bifurcación en las aplicaciones puede no estar de acuerdo con la realidad matemática, y se brindan indicaciones apropiadas para la literatura.</w:t>
      </w:r>
    </w:p>
    <w:p w:rsidR="00000000" w:rsidDel="00000000" w:rsidP="00000000" w:rsidRDefault="00000000" w:rsidRPr="00000000" w14:paraId="0000004F">
      <w:pPr>
        <w:rPr>
          <w:color w:val="a64d79"/>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Chapters 23-33 are covered in the third term. The subject is “global dynamics, bifurcations, and chaos.” There is a sprinkling of new material throughout these chapters (e.g., a proof of a simple version of the lambda lemma and a proof of the shadowing lemma), but the structure is basically the same as the first edition.</w:t>
      </w:r>
    </w:p>
    <w:p w:rsidR="00000000" w:rsidDel="00000000" w:rsidP="00000000" w:rsidRDefault="00000000" w:rsidRPr="00000000" w14:paraId="00000054">
      <w:pPr>
        <w:rPr>
          <w:sz w:val="24"/>
          <w:szCs w:val="24"/>
        </w:rPr>
      </w:pPr>
      <w:r w:rsidDel="00000000" w:rsidR="00000000" w:rsidRPr="00000000">
        <w:rPr>
          <w:sz w:val="24"/>
          <w:szCs w:val="24"/>
          <w:rtl w:val="0"/>
        </w:rPr>
        <w:t xml:space="preserve">—--------------------------------------------------------</w:t>
      </w:r>
    </w:p>
    <w:p w:rsidR="00000000" w:rsidDel="00000000" w:rsidP="00000000" w:rsidRDefault="00000000" w:rsidRPr="00000000" w14:paraId="00000055">
      <w:pPr>
        <w:rPr>
          <w:color w:val="a64d79"/>
          <w:sz w:val="24"/>
          <w:szCs w:val="24"/>
        </w:rPr>
      </w:pPr>
      <w:r w:rsidDel="00000000" w:rsidR="00000000" w:rsidRPr="00000000">
        <w:rPr>
          <w:color w:val="a64d79"/>
          <w:sz w:val="24"/>
          <w:szCs w:val="24"/>
          <w:rtl w:val="0"/>
        </w:rPr>
        <w:t xml:space="preserve">Los capítulos 23-33 se cubren en el tercer término. El tema es “dinámica global, bifurcaciones y caos”. Hay una pizca de material nuevo a lo largo de estos capítulos (por ejemplo, una prueba de una versión simple del lema lambda y una prueba del lema sombreado), pero la estructura es básicamente la misma que la primera edición.</w:t>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There is not a great deal of overlap between the material in the individual terms, and with the appropriate prerequisites, each of these one term courses could be viewed as an independent course in itself. The textbook provides the necessary background for the students to make this a possibility. Some material has been left out of this edition; in particular, material on averaging, the subharmonic Melnikov function, and lobe dynamics. The reason is that over time I have begun to cover averaging and the subharmonic Melnikov function as topics in a course solely devoted to perturbation methods. </w:t>
      </w:r>
    </w:p>
    <w:p w:rsidR="00000000" w:rsidDel="00000000" w:rsidP="00000000" w:rsidRDefault="00000000" w:rsidRPr="00000000" w14:paraId="0000005A">
      <w:pPr>
        <w:rPr>
          <w:sz w:val="24"/>
          <w:szCs w:val="24"/>
        </w:rPr>
      </w:pPr>
      <w:r w:rsidDel="00000000" w:rsidR="00000000" w:rsidRPr="00000000">
        <w:rPr>
          <w:sz w:val="24"/>
          <w:szCs w:val="24"/>
          <w:rtl w:val="0"/>
        </w:rPr>
        <w:t xml:space="preserve">—--------------------------------------------------------</w:t>
      </w:r>
    </w:p>
    <w:p w:rsidR="00000000" w:rsidDel="00000000" w:rsidP="00000000" w:rsidRDefault="00000000" w:rsidRPr="00000000" w14:paraId="0000005B">
      <w:pPr>
        <w:rPr>
          <w:color w:val="a64d79"/>
          <w:sz w:val="24"/>
          <w:szCs w:val="24"/>
        </w:rPr>
      </w:pPr>
      <w:r w:rsidDel="00000000" w:rsidR="00000000" w:rsidRPr="00000000">
        <w:rPr>
          <w:color w:val="a64d79"/>
          <w:sz w:val="24"/>
          <w:szCs w:val="24"/>
          <w:rtl w:val="0"/>
        </w:rPr>
        <w:t xml:space="preserve">No hay mucha superposición entre el material en los períodos individuales y, con los requisitos previos apropiados, cada uno de estos cursos de un período podría verse como un curso independiente en sí mismo. El libro de texto proporciona los antecedentes necesarios para que los estudiantes hagan de esto una posibilidad. Parte del material ha quedado fuera de esta edición; en particular, material sobre promedios, la función subarmónica de Melnikov y la dinámica de los lóbulos. La razón es que con el tiempo he comenzado a cubrir el promedio y la función subarmónica de Melnikov como temas en un curso dedicado exclusivamente a los métodos de perturbación.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I cover lobe dynamics in a course devoted to transport phenomena in dynamical systems, which has developed in the last ten years to the point that it now justifies an independent course of its own, with applications taken from many diverse disciplines.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color w:val="a64d79"/>
          <w:sz w:val="24"/>
          <w:szCs w:val="24"/>
        </w:rPr>
      </w:pPr>
      <w:r w:rsidDel="00000000" w:rsidR="00000000" w:rsidRPr="00000000">
        <w:rPr>
          <w:color w:val="a64d79"/>
          <w:sz w:val="24"/>
          <w:szCs w:val="24"/>
          <w:rtl w:val="0"/>
        </w:rPr>
        <w:t xml:space="preserve">Cubro la dinámica de lóbulos en un curso dedicado a los fenómenos de transporte en sistemas dinámicos, que se ha desarrollado en los últimos diez años al punto que ahora justifica un curso independiente propio, con aplicaciones tomadas de muchas disciplinas diversas.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It has been my experience over time that a significant obstacle for students in their study of the subject is the sheer amount of (initially) unfamiliar jargon. In order to make this a bit easier to deal with I have now included a glossary of frequently used terms. The bibliography has also been updated and greatly expanded.</w:t>
      </w:r>
    </w:p>
    <w:p w:rsidR="00000000" w:rsidDel="00000000" w:rsidP="00000000" w:rsidRDefault="00000000" w:rsidRPr="00000000" w14:paraId="00000068">
      <w:pPr>
        <w:rPr>
          <w:sz w:val="24"/>
          <w:szCs w:val="24"/>
        </w:rPr>
      </w:pPr>
      <w:r w:rsidDel="00000000" w:rsidR="00000000" w:rsidRPr="00000000">
        <w:rPr>
          <w:sz w:val="24"/>
          <w:szCs w:val="24"/>
          <w:rtl w:val="0"/>
        </w:rPr>
        <w:t xml:space="preserve">—--------------------------------------------------------</w:t>
      </w:r>
    </w:p>
    <w:p w:rsidR="00000000" w:rsidDel="00000000" w:rsidP="00000000" w:rsidRDefault="00000000" w:rsidRPr="00000000" w14:paraId="00000069">
      <w:pPr>
        <w:rPr>
          <w:color w:val="a64d79"/>
          <w:sz w:val="24"/>
          <w:szCs w:val="24"/>
        </w:rPr>
      </w:pPr>
      <w:r w:rsidDel="00000000" w:rsidR="00000000" w:rsidRPr="00000000">
        <w:rPr>
          <w:color w:val="a64d79"/>
          <w:sz w:val="24"/>
          <w:szCs w:val="24"/>
          <w:rtl w:val="0"/>
        </w:rPr>
        <w:t xml:space="preserve">Ha sido mi experiencia a lo largo del tiempo que un obstáculo importante para los estudiantes en su estudio del tema es la gran cantidad de jerga (inicialmente) desconocida. Para hacer esto un poco más fácil de manejar, ahora he incluido un glosario de términos de uso frecuente. La bibliografía también se ha actualizado y ampliado considerablemente.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I would also like to take this opportunity to express my gratitude to the National Science Foundation and to Dr. Wen Masters and Dr. Reza Malek-Madani of the Office of Naval Research for their generous support of my research over the years. Research and teaching are two sides of the same coin, and it is only through an active and fruiful research program</w:t>
      </w:r>
    </w:p>
    <w:p w:rsidR="00000000" w:rsidDel="00000000" w:rsidP="00000000" w:rsidRDefault="00000000" w:rsidRPr="00000000" w14:paraId="0000006F">
      <w:pPr>
        <w:rPr>
          <w:sz w:val="24"/>
          <w:szCs w:val="24"/>
        </w:rPr>
      </w:pPr>
      <w:r w:rsidDel="00000000" w:rsidR="00000000" w:rsidRPr="00000000">
        <w:rPr>
          <w:sz w:val="24"/>
          <w:szCs w:val="24"/>
          <w:rtl w:val="0"/>
        </w:rPr>
        <w:t xml:space="preserve">that the teaching becomes alive and relevant.</w:t>
      </w:r>
    </w:p>
    <w:p w:rsidR="00000000" w:rsidDel="00000000" w:rsidP="00000000" w:rsidRDefault="00000000" w:rsidRPr="00000000" w14:paraId="00000070">
      <w:pPr>
        <w:rPr>
          <w:sz w:val="24"/>
          <w:szCs w:val="24"/>
        </w:rPr>
      </w:pP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color w:val="a64d79"/>
          <w:sz w:val="24"/>
          <w:szCs w:val="24"/>
        </w:rPr>
      </w:pPr>
      <w:r w:rsidDel="00000000" w:rsidR="00000000" w:rsidRPr="00000000">
        <w:rPr>
          <w:color w:val="a64d79"/>
          <w:sz w:val="24"/>
          <w:szCs w:val="24"/>
          <w:rtl w:val="0"/>
        </w:rPr>
        <w:t xml:space="preserve">También me gustaría aprovechar esta oportunidad para expresar mi gratitud a la Fundación Nacional de Ciencias y al Dr. Wen Masters y al Dr. Reza Malek-Madani de la Oficina de Investigación Naval por su generoso apoyo a mi investigación a lo largo de los años. La investigación y la docencia son dos caras de la misma moneda, y sólo a través de un programa de investigación activo y fructífero.</w:t>
      </w:r>
    </w:p>
    <w:p w:rsidR="00000000" w:rsidDel="00000000" w:rsidP="00000000" w:rsidRDefault="00000000" w:rsidRPr="00000000" w14:paraId="00000073">
      <w:pPr>
        <w:rPr>
          <w:color w:val="a64d79"/>
          <w:sz w:val="24"/>
          <w:szCs w:val="24"/>
        </w:rPr>
      </w:pPr>
      <w:r w:rsidDel="00000000" w:rsidR="00000000" w:rsidRPr="00000000">
        <w:rPr>
          <w:color w:val="a64d79"/>
          <w:sz w:val="24"/>
          <w:szCs w:val="24"/>
          <w:rtl w:val="0"/>
        </w:rPr>
        <w:t xml:space="preserve">que la enseñanza se vuelva viva y relevante.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Bristol, England Stephen Wiggins</w:t>
      </w:r>
    </w:p>
    <w:p w:rsidR="00000000" w:rsidDel="00000000" w:rsidP="00000000" w:rsidRDefault="00000000" w:rsidRPr="00000000" w14:paraId="00000078">
      <w:pPr>
        <w:rPr>
          <w:sz w:val="24"/>
          <w:szCs w:val="24"/>
        </w:rPr>
      </w:pPr>
      <w:r w:rsidDel="00000000" w:rsidR="00000000" w:rsidRPr="00000000">
        <w:rPr>
          <w:sz w:val="24"/>
          <w:szCs w:val="24"/>
          <w:rtl w:val="0"/>
        </w:rPr>
        <w:t xml:space="preserve">2003</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