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Employee Benefits Documentation</w:t>
      </w:r>
    </w:p>
    <w:p>
      <w:pPr>
        <w:pStyle w:val="Heading2"/>
      </w:pPr>
      <w:r>
        <w:t>1. Benefits Overview</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2. Comprehensive Health Insurance</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3. Retirement Savings Plans</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4. Wellness and Mental Health Programs</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5. Tuition Reimbursement</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6. Gym and Fitness Memberships</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7. Commuter and Transit Benefits</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p>
      <w:pPr>
        <w:pStyle w:val="Heading2"/>
      </w:pPr>
      <w:r>
        <w:t>8. Family and Dependent Care</w:t>
      </w:r>
    </w:p>
    <w:p>
      <w:r>
        <w:t>This section outlines the standard procedures and expectations aligned with our core organizational values. Employees are expected to familiarize themselves with these guidelines to ensure a cohesive, productive, and compliant work environment. The company reserves the right to modify, revoke, suspend, terminate, or change any or all such plans, policies, or procedures, in whole or in part, at any time with or without notice. The language used in this document is intended to provide clear guidance and should not be construed as creating an express or implied contract of employment.</w:t>
      </w:r>
    </w:p>
    <w:p>
      <w:r>
        <w:t>In accordance with industry best practices and regulatory requirements, this framework is designed to support our strategic objectives. Leadership and management teams are responsible for the consistent application of these principles. We encourage open communication and proactive engagement from all staff members to foster a culture of continuous improvement. By adhering to these standards, we mitigate risks, promote operational excellence, and safeguard the interests of both the organization and its stakeholders.</w:t>
      </w:r>
    </w:p>
    <w:p>
      <w:r>
        <w:t>Detailed protocols have been established to address common scenarios and exceptions. Should any ambiguity arise, employees are advised to consult their designated HR representative or departmental supervisor. Regular training sessions and informational workshops will be conducted to ensure that all personnel remain updated on recent amendments and procedural enhancements. It is a shared responsibility to uphold the integrity of our corporate policies.</w:t>
      </w:r>
    </w:p>
    <w:p>
      <w:r>
        <w:t>Failure to comply with the stipulations set forth herein may result in disciplinary action, up to and including termination of employment, depending on the severity of the infraction. We strive to apply all policies equitably and fairly, taking into account the specific circumstances of each case. We appreciate the dedication and cooperation of every team member in maintaining a professional, respectful, and high-performing workplace. Regular audits will be conducted to guarantee compliance across all departments and functional areas.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