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Corporate Travel Policy</w:t>
      </w:r>
    </w:p>
    <w:p>
      <w:pPr>
        <w:pStyle w:val="Heading2"/>
      </w:pPr>
      <w:r>
        <w:t>1. Travel Approval Process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2. Flight Booking Guidelines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3. Accommodation Standards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4. Daily Per Diem Rates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5. Ground Transportation</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6. Expense Reporting and Receipts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7. Non-Reimbursable Expenses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8. Travel Safety and Insurance</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