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Arial" w:hAnsi="Arial"/>
          <w:b/>
          <w:color w:val="0E7490"/>
          <w:sz w:val="20"/>
        </w:rPr>
        <w:t>PRODUCT MANAGEMENT MASTERCLASS &amp; OPERATIONAL MANUAL</w:t>
        <w:br/>
      </w:r>
      <w:r>
        <w:rPr>
          <w:rFonts w:ascii="Arial" w:hAnsi="Arial"/>
          <w:b/>
          <w:color w:val="0F172A"/>
          <w:sz w:val="52"/>
        </w:rPr>
        <w:t>Deconstructing &amp; Mastering Product Vision</w:t>
        <w:br/>
      </w:r>
      <w:r>
        <w:rPr>
          <w:rFonts w:ascii="Arial" w:hAnsi="Arial"/>
          <w:i/>
          <w:color w:val="64748B"/>
          <w:sz w:val="26"/>
        </w:rPr>
        <w:t>An Exhaustive Strategic Manual on Generic Product Vision Foundations, Frameworks, Socialization &amp; Credit Management Domain Application</w:t>
      </w:r>
    </w:p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20"/>
              </w:rPr>
              <w:t>Target Audience:</w:t>
            </w:r>
            <w:r>
              <w:rPr>
                <w:color w:val="334155"/>
                <w:sz w:val="20"/>
              </w:rPr>
              <w:t xml:space="preserve"> Product Owners, PMs &amp; Tribe Leads</w:t>
            </w:r>
          </w:p>
        </w:tc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20"/>
              </w:rPr>
              <w:t>Domain Focus:</w:t>
            </w:r>
            <w:r>
              <w:rPr>
                <w:color w:val="334155"/>
                <w:sz w:val="20"/>
              </w:rPr>
              <w:t xml:space="preserve"> Universal PV Theory &amp; Credit Management Domain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20"/>
              </w:rPr>
              <w:t>Organization:</w:t>
            </w:r>
            <w:r>
              <w:rPr>
                <w:color w:val="334155"/>
                <w:sz w:val="20"/>
              </w:rPr>
              <w:t xml:space="preserve"> Data &amp; Analytics Tribe</w:t>
            </w:r>
          </w:p>
        </w:tc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20"/>
              </w:rPr>
              <w:t>Document Scope:</w:t>
            </w:r>
            <w:r>
              <w:rPr>
                <w:color w:val="334155"/>
                <w:sz w:val="20"/>
              </w:rPr>
              <w:t xml:space="preserve"> 12 Exhaustive Chapters + Framework Kit &amp; Checklist</w:t>
            </w:r>
          </w:p>
        </w:tc>
      </w:tr>
    </w:tbl>
    <w:p>
      <w:pPr>
        <w:spacing w:after="360"/>
      </w:pPr>
    </w:p>
    <w:p>
      <w:pPr>
        <w:keepNext/>
        <w:spacing w:before="360" w:after="120"/>
      </w:pPr>
      <w:r>
        <w:rPr>
          <w:rFonts w:ascii="Arial" w:hAnsi="Arial"/>
          <w:b/>
          <w:color w:val="0F172A"/>
          <w:sz w:val="36"/>
        </w:rPr>
        <w:t>1. Deconstructing Product Vision: Core Definitions &amp; Philosophy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2"/>
        </w:rPr>
        <w:t>A Product Vision (PV) is the ultimate North Star of product leadership. It articulates the overarching, inspiring, and long-term aspirational future state your product seeks to achieve over a 3- to 5-year horizon. It defines WHY the product exists, WHO it serves, and WHAT transformative value it delivers to users and the broader enterprise.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E7490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0F172A"/>
                <w:sz w:val="22"/>
              </w:rPr>
              <w:t>📌 Core Definition: Product Vision</w:t>
            </w:r>
          </w:p>
          <w:p>
            <w:pPr>
              <w:spacing w:before="40" w:after="80"/>
            </w:pPr>
            <w:r>
              <w:rPr>
                <w:rFonts w:ascii="Arial" w:hAnsi="Arial"/>
                <w:color w:val="334155"/>
                <w:sz w:val="20"/>
              </w:rPr>
              <w:t>"A Product Vision is an inspiring, clear, and enduring statement of the future state your product creates. It acts as a decision-making filter, alignment engine, and motivational driver across multi-disciplinary squads."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Arial" w:hAnsi="Arial"/>
          <w:b/>
          <w:color w:val="0E7490"/>
          <w:sz w:val="28"/>
        </w:rPr>
        <w:t>1.1 Clarifying Terminology: Vision vs Mission vs Strategy vs Roadmap vs Backlog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2"/>
        </w:rPr>
        <w:t>To prevent strategic ambiguity, Product Owners must clearly distinguish between these related terms: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172A"/>
          </w:tcPr>
          <w:p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2340"/>
            <w:shd w:fill="0F172A"/>
          </w:tcPr>
          <w:p>
            <w:r>
              <w:rPr>
                <w:b/>
                <w:color w:val="FFFFFF"/>
              </w:rPr>
              <w:t>Primary Focus &amp; Horizon</w:t>
            </w:r>
          </w:p>
        </w:tc>
        <w:tc>
          <w:tcPr>
            <w:tcW w:type="dxa" w:w="2340"/>
            <w:shd w:fill="0F172A"/>
          </w:tcPr>
          <w:p>
            <w:r>
              <w:rPr>
                <w:b/>
                <w:color w:val="FFFFFF"/>
              </w:rPr>
              <w:t>Core Question Answered</w:t>
            </w:r>
          </w:p>
        </w:tc>
        <w:tc>
          <w:tcPr>
            <w:tcW w:type="dxa" w:w="2340"/>
            <w:shd w:fill="0F172A"/>
          </w:tcPr>
          <w:p>
            <w:r>
              <w:rPr>
                <w:b/>
                <w:color w:val="FFFFFF"/>
              </w:rPr>
              <w:t>Generic Example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Product Vision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3-5 Years | Future State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WHY does the product exist?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To make global credit decisioning instantaneous, transparent, and fair.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Product Mission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Ongoing | Purpose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WHAT do we do daily to achieve vision?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We build AI-driven risk scoring &amp; real-time underwriting data products.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Product Strategy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1-2 Years | Strategic Pillars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HOW will we achieve the vision?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By integrating open-banking data &amp; automated early warning distress models.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Product Roadmap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3-12 Months | Milestones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WHEN will key outcomes be delivered?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Q1: EWS Model v1; Q2: Bureau API fetcher; Q3: SHAP portal.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Product Backlog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1-4 Weeks | Epics &amp; Stories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WHAT specific items are being built?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User Story: Expose SHAP feature importance REST API endpoint.</w:t>
            </w:r>
          </w:p>
        </w:tc>
      </w:tr>
    </w:tbl>
    <w:p>
      <w:pPr>
        <w:spacing w:after="240"/>
      </w:pPr>
    </w:p>
    <w:p>
      <w:pPr>
        <w:keepNext/>
        <w:spacing w:before="280" w:after="80"/>
      </w:pPr>
      <w:r>
        <w:rPr>
          <w:rFonts w:ascii="Arial" w:hAnsi="Arial"/>
          <w:b/>
          <w:color w:val="0E7490"/>
          <w:sz w:val="28"/>
        </w:rPr>
        <w:t>1.2 The 5 Strategic Value Drivers of Product Vision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1. Strategic Decision Filter: </w:t>
      </w:r>
      <w:r>
        <w:rPr>
          <w:rFonts w:ascii="Calibri" w:hAnsi="Calibri"/>
          <w:color w:val="334155"/>
          <w:sz w:val="22"/>
        </w:rPr>
        <w:t xml:space="preserve"> Acts as a strict evaluation filter for ad-hoc requests, giving POs the power to say 'No' to scope creep.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2. Cross-Functional Autonomy: </w:t>
      </w:r>
      <w:r>
        <w:rPr>
          <w:rFonts w:ascii="Calibri" w:hAnsi="Calibri"/>
          <w:color w:val="334155"/>
          <w:sz w:val="22"/>
        </w:rPr>
        <w:t xml:space="preserve"> Aligns Product, Engineering, Risk, and Executive Leadership, empowering squads to make autonomous decisions.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3. Team Purpose &amp; Motivation: </w:t>
      </w:r>
      <w:r>
        <w:rPr>
          <w:rFonts w:ascii="Calibri" w:hAnsi="Calibri"/>
          <w:color w:val="334155"/>
          <w:sz w:val="22"/>
        </w:rPr>
        <w:t xml:space="preserve"> Transforms ticket processors into empowered problem solvers by connecting code to real human impact.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4. Outcome Centricity over Output: </w:t>
      </w:r>
      <w:r>
        <w:rPr>
          <w:rFonts w:ascii="Calibri" w:hAnsi="Calibri"/>
          <w:color w:val="334155"/>
          <w:sz w:val="22"/>
        </w:rPr>
        <w:t xml:space="preserve"> Shifts squad focus away from pure feature delivery (output) toward high-leverage business value (outcomes).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5. Future-Proofing &amp; Competitive Advantage: </w:t>
      </w:r>
      <w:r>
        <w:rPr>
          <w:rFonts w:ascii="Calibri" w:hAnsi="Calibri"/>
          <w:color w:val="334155"/>
          <w:sz w:val="22"/>
        </w:rPr>
        <w:t xml:space="preserve"> Anticipates market shifts, regulatory evolution, and tech disruption to maintain long-term market defensibility.</w:t>
      </w:r>
    </w:p>
    <w:p>
      <w:pPr>
        <w:keepNext/>
        <w:spacing w:before="360" w:after="120"/>
      </w:pPr>
      <w:r>
        <w:rPr>
          <w:rFonts w:ascii="Arial" w:hAnsi="Arial"/>
          <w:b/>
          <w:color w:val="0F172A"/>
          <w:sz w:val="36"/>
        </w:rPr>
        <w:t>2. Core Components &amp; Qualities of a World-Class Vision</w:t>
      </w:r>
    </w:p>
    <w:p>
      <w:pPr>
        <w:keepNext/>
        <w:spacing w:before="280" w:after="80"/>
      </w:pPr>
      <w:r>
        <w:rPr>
          <w:rFonts w:ascii="Arial" w:hAnsi="Arial"/>
          <w:b/>
          <w:color w:val="0E7490"/>
          <w:sz w:val="28"/>
        </w:rPr>
        <w:t>2.1 The 6 Core Building Blocks (Anatomy) of a Vision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1. Target User / Customer: </w:t>
      </w:r>
      <w:r>
        <w:rPr>
          <w:rFonts w:ascii="Calibri" w:hAnsi="Calibri"/>
          <w:color w:val="334155"/>
          <w:sz w:val="22"/>
        </w:rPr>
        <w:t xml:space="preserve"> Who specifically is this product built for? (e.g., Credit Underwriters, Risk Managers).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2. Core Problem / Pain Point: </w:t>
      </w:r>
      <w:r>
        <w:rPr>
          <w:rFonts w:ascii="Calibri" w:hAnsi="Calibri"/>
          <w:color w:val="334155"/>
          <w:sz w:val="22"/>
        </w:rPr>
        <w:t xml:space="preserve"> What fundamental friction or pain point are we removing?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3. Solution Capability: </w:t>
      </w:r>
      <w:r>
        <w:rPr>
          <w:rFonts w:ascii="Calibri" w:hAnsi="Calibri"/>
          <w:color w:val="334155"/>
          <w:sz w:val="22"/>
        </w:rPr>
        <w:t xml:space="preserve"> What primary capability or innovation does the product provide?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4. Key Differentiator: </w:t>
      </w:r>
      <w:r>
        <w:rPr>
          <w:rFonts w:ascii="Calibri" w:hAnsi="Calibri"/>
          <w:color w:val="334155"/>
          <w:sz w:val="22"/>
        </w:rPr>
        <w:t xml:space="preserve"> Why is our approach superior to existing alternatives?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5. Strategic Business Outcome: </w:t>
      </w:r>
      <w:r>
        <w:rPr>
          <w:rFonts w:ascii="Calibri" w:hAnsi="Calibri"/>
          <w:color w:val="334155"/>
          <w:sz w:val="22"/>
        </w:rPr>
        <w:t xml:space="preserve"> What measurable enterprise ROI does this product deliver?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6. The Inspiring Hook: </w:t>
      </w:r>
      <w:r>
        <w:rPr>
          <w:rFonts w:ascii="Calibri" w:hAnsi="Calibri"/>
          <w:color w:val="334155"/>
          <w:sz w:val="22"/>
        </w:rPr>
        <w:t xml:space="preserve"> What emotional and noble cause rallies the squad daily?</w:t>
      </w:r>
    </w:p>
    <w:p>
      <w:pPr>
        <w:keepNext/>
        <w:spacing w:before="280" w:after="80"/>
      </w:pPr>
      <w:r>
        <w:rPr>
          <w:rFonts w:ascii="Arial" w:hAnsi="Arial"/>
          <w:b/>
          <w:color w:val="0E7490"/>
          <w:sz w:val="28"/>
        </w:rPr>
        <w:t>2.2 The 7 Qualities of a World-Class Product Vision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2"/>
        </w:rPr>
        <w:t>A great product vision statement must exhibit all seven of the following attributes: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1. Inspiring &amp; Aspirational: </w:t>
      </w:r>
      <w:r>
        <w:rPr>
          <w:rFonts w:ascii="Calibri" w:hAnsi="Calibri"/>
          <w:color w:val="334155"/>
          <w:sz w:val="22"/>
        </w:rPr>
        <w:t xml:space="preserve"> Stretches imagination and motivates teams to solve hard, meaningful problems.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2. Clear &amp; Concise: </w:t>
      </w:r>
      <w:r>
        <w:rPr>
          <w:rFonts w:ascii="Calibri" w:hAnsi="Calibri"/>
          <w:color w:val="334155"/>
          <w:sz w:val="22"/>
        </w:rPr>
        <w:t xml:space="preserve"> Easy to understand, remember, and repeat without buzzwords or corporate jargon.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3. Customer-Centric: </w:t>
      </w:r>
      <w:r>
        <w:rPr>
          <w:rFonts w:ascii="Calibri" w:hAnsi="Calibri"/>
          <w:color w:val="334155"/>
          <w:sz w:val="22"/>
        </w:rPr>
        <w:t xml:space="preserve"> Grounded in real user pain points and customer needs rather than internal technical goals.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4. Stable Yet Flexible: </w:t>
      </w:r>
      <w:r>
        <w:rPr>
          <w:rFonts w:ascii="Calibri" w:hAnsi="Calibri"/>
          <w:color w:val="334155"/>
          <w:sz w:val="22"/>
        </w:rPr>
        <w:t xml:space="preserve"> Endures across a 3 to 5-year horizon while allowing tactical strategy and roadmap to pivot.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5. Differentiating: </w:t>
      </w:r>
      <w:r>
        <w:rPr>
          <w:rFonts w:ascii="Calibri" w:hAnsi="Calibri"/>
          <w:color w:val="334155"/>
          <w:sz w:val="22"/>
        </w:rPr>
        <w:t xml:space="preserve"> Articulates why this product is uniquely positioned compared to existing legacy alternatives.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6. Value-Linked: </w:t>
      </w:r>
      <w:r>
        <w:rPr>
          <w:rFonts w:ascii="Calibri" w:hAnsi="Calibri"/>
          <w:color w:val="334155"/>
          <w:sz w:val="22"/>
        </w:rPr>
        <w:t xml:space="preserve"> Directly connects user value creation to long-term enterprise financial ROI and risk reduction.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7. Feasible &amp; Realizable: </w:t>
      </w:r>
      <w:r>
        <w:rPr>
          <w:rFonts w:ascii="Calibri" w:hAnsi="Calibri"/>
          <w:color w:val="334155"/>
          <w:sz w:val="22"/>
        </w:rPr>
        <w:t xml:space="preserve"> Grounded in technical possibility and strategic enterprise realism without being unrealistic.</w:t>
      </w:r>
    </w:p>
    <w:p>
      <w:pPr>
        <w:keepNext/>
        <w:spacing w:before="360" w:after="120"/>
      </w:pPr>
      <w:r>
        <w:rPr>
          <w:rFonts w:ascii="Arial" w:hAnsi="Arial"/>
          <w:b/>
          <w:color w:val="0F172A"/>
          <w:sz w:val="36"/>
        </w:rPr>
        <w:t>3. Timing &amp; Frequency: Creation, Review, and Pivot Lifecycles</w:t>
      </w:r>
    </w:p>
    <w:p>
      <w:pPr>
        <w:keepNext/>
        <w:spacing w:before="280" w:after="80"/>
      </w:pPr>
      <w:r>
        <w:rPr>
          <w:rFonts w:ascii="Arial" w:hAnsi="Arial"/>
          <w:b/>
          <w:color w:val="0E7490"/>
          <w:sz w:val="28"/>
        </w:rPr>
        <w:t>3.1 When to Create a New Product Vision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1. New Squad / Product Launch: </w:t>
      </w:r>
      <w:r>
        <w:rPr>
          <w:rFonts w:ascii="Calibri" w:hAnsi="Calibri"/>
          <w:color w:val="334155"/>
          <w:sz w:val="22"/>
        </w:rPr>
        <w:t>When establishing a new squad, domain, or data product initiative.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2. Major Strategic Pivot: </w:t>
      </w:r>
      <w:r>
        <w:rPr>
          <w:rFonts w:ascii="Calibri" w:hAnsi="Calibri"/>
          <w:color w:val="334155"/>
          <w:sz w:val="22"/>
        </w:rPr>
        <w:t>When market dynamics or business models undergo fundamental shifts.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3. PO Onboarding: </w:t>
      </w:r>
      <w:r>
        <w:rPr>
          <w:rFonts w:ascii="Calibri" w:hAnsi="Calibri"/>
          <w:color w:val="334155"/>
          <w:sz w:val="22"/>
        </w:rPr>
        <w:t>When a new Product Owner assumes leadership over an existing domain needing realignment.</w:t>
      </w:r>
    </w:p>
    <w:p>
      <w:pPr>
        <w:keepNext/>
        <w:spacing w:before="280" w:after="80"/>
      </w:pPr>
      <w:r>
        <w:rPr>
          <w:rFonts w:ascii="Arial" w:hAnsi="Arial"/>
          <w:b/>
          <w:color w:val="0E7490"/>
          <w:sz w:val="28"/>
        </w:rPr>
        <w:t>3.2 Frequency Guide for Reviewing and Updating Vision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Bi-Weekly (Continuous): </w:t>
      </w:r>
      <w:r>
        <w:rPr>
          <w:rFonts w:ascii="Calibri" w:hAnsi="Calibri"/>
          <w:color w:val="334155"/>
          <w:sz w:val="22"/>
        </w:rPr>
        <w:t>Reference vision during sprint planning to validate user story alignment.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Quarterly Pulse Check: </w:t>
      </w:r>
      <w:r>
        <w:rPr>
          <w:rFonts w:ascii="Calibri" w:hAnsi="Calibri"/>
          <w:color w:val="334155"/>
          <w:sz w:val="22"/>
        </w:rPr>
        <w:t>Assess quarterly OKR progress and evaluate market shifts.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Annual Strategic Review: </w:t>
      </w:r>
      <w:r>
        <w:rPr>
          <w:rFonts w:ascii="Calibri" w:hAnsi="Calibri"/>
          <w:color w:val="334155"/>
          <w:sz w:val="22"/>
        </w:rPr>
        <w:t>Formal alignment review with Executive Sponsors (CRO, Tribe Lead).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3-5 Year Paradigm Shift: </w:t>
      </w:r>
      <w:r>
        <w:rPr>
          <w:rFonts w:ascii="Calibri" w:hAnsi="Calibri"/>
          <w:color w:val="334155"/>
          <w:sz w:val="22"/>
        </w:rPr>
        <w:t>Full vision overhaul upon achieving original 3-5 year aspirational state.</w:t>
      </w:r>
    </w:p>
    <w:p>
      <w:pPr>
        <w:keepNext/>
        <w:spacing w:before="360" w:after="120"/>
      </w:pPr>
      <w:r>
        <w:rPr>
          <w:rFonts w:ascii="Arial" w:hAnsi="Arial"/>
          <w:b/>
          <w:color w:val="0F172A"/>
          <w:sz w:val="36"/>
        </w:rPr>
        <w:t>4. Step-by-Step Guide to Crafting a Product Vision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2"/>
        </w:rPr>
        <w:t>Follow this 5-phase collaborative framework to craft a vision from scratch: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Phase 1: Discovery (1-2 Weeks) — </w:t>
      </w:r>
      <w:r>
        <w:rPr>
          <w:rFonts w:ascii="Calibri" w:hAnsi="Calibri"/>
          <w:color w:val="334155"/>
          <w:sz w:val="22"/>
        </w:rPr>
        <w:t>Conduct user interviews, audit current data assets, and benchmark industry standards.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Phase 2: Co-Creation (1 Day Workshop) — </w:t>
      </w:r>
      <w:r>
        <w:rPr>
          <w:rFonts w:ascii="Calibri" w:hAnsi="Calibri"/>
          <w:color w:val="334155"/>
          <w:sz w:val="22"/>
        </w:rPr>
        <w:t>Host a half-day alignment workshop with Squad, Risk Leads, and Design.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Phase 3: Drafting (3-5 Days) — </w:t>
      </w:r>
      <w:r>
        <w:rPr>
          <w:rFonts w:ascii="Calibri" w:hAnsi="Calibri"/>
          <w:color w:val="334155"/>
          <w:sz w:val="22"/>
        </w:rPr>
        <w:t>Synthesize workshop inputs into 2-3 structured vision options using frameworks.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Phase 4: Validation (1 Week) — </w:t>
      </w:r>
      <w:r>
        <w:rPr>
          <w:rFonts w:ascii="Calibri" w:hAnsi="Calibri"/>
          <w:color w:val="334155"/>
          <w:sz w:val="22"/>
        </w:rPr>
        <w:t>Test draft vision options with front-line users and executive sponsors.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Phase 5: Socialization (Ongoing) — </w:t>
      </w:r>
      <w:r>
        <w:rPr>
          <w:rFonts w:ascii="Calibri" w:hAnsi="Calibri"/>
          <w:color w:val="334155"/>
          <w:sz w:val="22"/>
        </w:rPr>
        <w:t>Publish vision board, embed in backlog, and present in Tribe Town Hall.</w:t>
      </w:r>
    </w:p>
    <w:p>
      <w:pPr>
        <w:keepNext/>
        <w:spacing w:before="360" w:after="120"/>
      </w:pPr>
      <w:r>
        <w:rPr>
          <w:rFonts w:ascii="Arial" w:hAnsi="Arial"/>
          <w:b/>
          <w:color w:val="0F172A"/>
          <w:sz w:val="36"/>
        </w:rPr>
        <w:t>5. Master Frameworks &amp; Templates Kit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2"/>
        </w:rPr>
        <w:t>Explore the 5 battle-tested product vision frameworks:</w:t>
      </w:r>
    </w:p>
    <w:p>
      <w:pPr>
        <w:keepNext/>
        <w:spacing w:before="280" w:after="80"/>
      </w:pPr>
      <w:r>
        <w:rPr>
          <w:rFonts w:ascii="Arial" w:hAnsi="Arial"/>
          <w:b/>
          <w:color w:val="0E7490"/>
          <w:sz w:val="28"/>
        </w:rPr>
        <w:t>5.1 Framework 1: Geoffrey Moore's Positioning Formula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F172A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0F172A"/>
                <w:sz w:val="22"/>
              </w:rPr>
              <w:t>📌 Geoffrey Moore Formula</w:t>
            </w:r>
          </w:p>
          <w:p>
            <w:pPr>
              <w:spacing w:before="40" w:after="80"/>
            </w:pPr>
            <w:r>
              <w:rPr>
                <w:rFonts w:ascii="Arial" w:hAnsi="Arial"/>
                <w:color w:val="334155"/>
                <w:sz w:val="20"/>
              </w:rPr>
              <w:t>FOR [Target Customer] WHO NEED [Core Pain Point], THE [Product Name] IS A [Product Category] THAT DELIVERS [Core Benefit]. UNLIKE [Alternative Workaround], OUR PRODUCT [Key Differentiator &amp; Business Outcome].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Arial" w:hAnsi="Arial"/>
          <w:b/>
          <w:color w:val="0E7490"/>
          <w:sz w:val="28"/>
        </w:rPr>
        <w:t>5.2 Framework 2: Roman Pichler's Product Vision Board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2"/>
        </w:rPr>
        <w:t>Divides vision into Overarching Vision Statement, Target Group, Needs, Product Features, and Business Goals.</w:t>
      </w:r>
    </w:p>
    <w:p>
      <w:pPr>
        <w:keepNext/>
        <w:spacing w:before="280" w:after="80"/>
      </w:pPr>
      <w:r>
        <w:rPr>
          <w:rFonts w:ascii="Arial" w:hAnsi="Arial"/>
          <w:b/>
          <w:color w:val="0E7490"/>
          <w:sz w:val="28"/>
        </w:rPr>
        <w:t>5.3 Framework 3: Simon Sinek's Golden Circle (Why, How, What)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2"/>
        </w:rPr>
        <w:t>Starts with WHY (Purpose), moves to HOW (Differentiating Strategy), and ends with WHAT (Tangible Product).</w:t>
      </w:r>
    </w:p>
    <w:p>
      <w:pPr>
        <w:keepNext/>
        <w:spacing w:before="280" w:after="80"/>
      </w:pPr>
      <w:r>
        <w:rPr>
          <w:rFonts w:ascii="Arial" w:hAnsi="Arial"/>
          <w:b/>
          <w:color w:val="0E7490"/>
          <w:sz w:val="28"/>
        </w:rPr>
        <w:t>5.4 Framework 4: Marty Cagan's Product Vision Tenets (INSPIRED)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2"/>
        </w:rPr>
        <w:t>Emphasizes outcome over features, empowered teams, falling in love with the problem, and inspiring squads daily.</w:t>
      </w:r>
    </w:p>
    <w:p>
      <w:pPr>
        <w:keepNext/>
        <w:spacing w:before="280" w:after="80"/>
      </w:pPr>
      <w:r>
        <w:rPr>
          <w:rFonts w:ascii="Arial" w:hAnsi="Arial"/>
          <w:b/>
          <w:color w:val="0E7490"/>
          <w:sz w:val="28"/>
        </w:rPr>
        <w:t>5.5 Framework 5: Radhika Dutt's Radical Product Thinking (RPT)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2"/>
        </w:rPr>
        <w:t>Structures vision around: Whose problem, What friction, What desired world, How we change it, and Why it matters.</w:t>
      </w:r>
    </w:p>
    <w:p>
      <w:pPr>
        <w:keepNext/>
        <w:spacing w:before="360" w:after="120"/>
      </w:pPr>
      <w:r>
        <w:rPr>
          <w:rFonts w:ascii="Arial" w:hAnsi="Arial"/>
          <w:b/>
          <w:color w:val="0F172A"/>
          <w:sz w:val="36"/>
        </w:rPr>
        <w:t>6. Socializing &amp; Pitching Product Vision Across the Enterprise</w:t>
      </w:r>
    </w:p>
    <w:p>
      <w:pPr>
        <w:keepNext/>
        <w:spacing w:before="280" w:after="80"/>
      </w:pPr>
      <w:r>
        <w:rPr>
          <w:rFonts w:ascii="Arial" w:hAnsi="Arial"/>
          <w:b/>
          <w:color w:val="0E7490"/>
          <w:sz w:val="28"/>
        </w:rPr>
        <w:t>6.1 Taking PV to the Agile Squad (Engineers &amp; Data Scientists)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User Story Context: </w:t>
      </w:r>
      <w:r>
        <w:rPr>
          <w:rFonts w:ascii="Calibri" w:hAnsi="Calibri"/>
          <w:color w:val="334155"/>
          <w:sz w:val="22"/>
        </w:rPr>
        <w:t>Include 'In order to [Vision Goal]' context in every Jira user story.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Sprint Goal Mapping: </w:t>
      </w:r>
      <w:r>
        <w:rPr>
          <w:rFonts w:ascii="Calibri" w:hAnsi="Calibri"/>
          <w:color w:val="334155"/>
          <w:sz w:val="22"/>
        </w:rPr>
        <w:t>Map every 2-week Sprint Goal to a strategic vision pillar.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Outcome Demos: </w:t>
      </w:r>
      <w:r>
        <w:rPr>
          <w:rFonts w:ascii="Calibri" w:hAnsi="Calibri"/>
          <w:color w:val="334155"/>
          <w:sz w:val="22"/>
        </w:rPr>
        <w:t>Celebrate real business metric impact (e.g., latency cuts, default drops) during demos.</w:t>
      </w:r>
    </w:p>
    <w:p>
      <w:pPr>
        <w:keepNext/>
        <w:spacing w:before="280" w:after="80"/>
      </w:pPr>
      <w:r>
        <w:rPr>
          <w:rFonts w:ascii="Arial" w:hAnsi="Arial"/>
          <w:b/>
          <w:color w:val="0E7490"/>
          <w:sz w:val="28"/>
        </w:rPr>
        <w:t>6.2 Pitching PV to Executive Leadership &amp; C-Suite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Lead with Enterprise ROI: </w:t>
      </w:r>
      <w:r>
        <w:rPr>
          <w:rFonts w:ascii="Calibri" w:hAnsi="Calibri"/>
          <w:color w:val="334155"/>
          <w:sz w:val="22"/>
        </w:rPr>
        <w:t>Start with financial loss savings, revenue growth, and capital provisions.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Address Regulatory Safety: </w:t>
      </w:r>
      <w:r>
        <w:rPr>
          <w:rFonts w:ascii="Calibri" w:hAnsi="Calibri"/>
          <w:color w:val="334155"/>
          <w:sz w:val="22"/>
        </w:rPr>
        <w:t>Proactively demonstrate FCRA, GDPR, and Basel III/IV compliance guardrails.</w:t>
      </w:r>
    </w:p>
    <w:p>
      <w:pPr>
        <w:keepNext/>
        <w:spacing w:before="280" w:after="80"/>
      </w:pPr>
      <w:r>
        <w:rPr>
          <w:rFonts w:ascii="Arial" w:hAnsi="Arial"/>
          <w:b/>
          <w:color w:val="0E7490"/>
          <w:sz w:val="28"/>
        </w:rPr>
        <w:t>6.3 Narrative Techniques: The Hero's Journey Storytelling Model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2"/>
        </w:rPr>
        <w:t>Frame your product pitch around: 1. Hero (User), 2. Monster (Current Friction), 3. Weapon (Product Vision), 4. Transformation (Future State).</w:t>
      </w:r>
    </w:p>
    <w:p>
      <w:pPr>
        <w:keepNext/>
        <w:spacing w:before="360" w:after="120"/>
      </w:pPr>
      <w:r>
        <w:rPr>
          <w:rFonts w:ascii="Arial" w:hAnsi="Arial"/>
          <w:b/>
          <w:color w:val="0F172A"/>
          <w:sz w:val="36"/>
        </w:rPr>
        <w:t>7. Applying Product Vision to Data &amp; Analytics Tribe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2"/>
        </w:rPr>
        <w:t>Data products require special vision framing because they lack traditional UIs and must manage model drift and pipeline SLAs.</w:t>
      </w:r>
    </w:p>
    <w:p>
      <w:pPr>
        <w:keepNext/>
        <w:spacing w:before="360" w:after="120"/>
      </w:pPr>
      <w:r>
        <w:rPr>
          <w:rFonts w:ascii="Arial" w:hAnsi="Arial"/>
          <w:b/>
          <w:color w:val="0F172A"/>
          <w:sz w:val="36"/>
        </w:rPr>
        <w:t>8. Credit Management Domain Landscape &amp; Lifecycle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2"/>
        </w:rPr>
        <w:t>Detailing the 5 Credit Lifecycle stages: Origination, Underwriting, Account Management, Early Warning Systems (EWS), and Collections.</w:t>
      </w:r>
    </w:p>
    <w:p>
      <w:pPr>
        <w:keepNext/>
        <w:spacing w:before="360" w:after="120"/>
      </w:pPr>
      <w:r>
        <w:rPr>
          <w:rFonts w:ascii="Arial" w:hAnsi="Arial"/>
          <w:b/>
          <w:color w:val="0F172A"/>
          <w:sz w:val="36"/>
        </w:rPr>
        <w:t>9. The 5 Strategic Pillars of Credit Analytics Vision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Pillar 1: Real-Time Risk Decisioning — </w:t>
      </w:r>
      <w:r>
        <w:rPr>
          <w:rFonts w:ascii="Calibri" w:hAnsi="Calibri"/>
          <w:color w:val="334155"/>
          <w:sz w:val="22"/>
        </w:rPr>
        <w:t>Sub-second automated underwriting decisions.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Pillar 2: Early Warning Systems (EWS) — </w:t>
      </w:r>
      <w:r>
        <w:rPr>
          <w:rFonts w:ascii="Calibri" w:hAnsi="Calibri"/>
          <w:color w:val="334155"/>
          <w:sz w:val="22"/>
        </w:rPr>
        <w:t>Predictive behavioral risk alerts 60-90 days early.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Pillar 3: Collections &amp; Recovery AI — </w:t>
      </w:r>
      <w:r>
        <w:rPr>
          <w:rFonts w:ascii="Calibri" w:hAnsi="Calibri"/>
          <w:color w:val="334155"/>
          <w:sz w:val="22"/>
        </w:rPr>
        <w:t>Propensity-to-pay ML segmentation &amp; automated workout plans.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Pillar 4: Explainable AI &amp; Governance — </w:t>
      </w:r>
      <w:r>
        <w:rPr>
          <w:rFonts w:ascii="Calibri" w:hAnsi="Calibri"/>
          <w:color w:val="334155"/>
          <w:sz w:val="22"/>
        </w:rPr>
        <w:t>100% SHAP feature importance &amp; zero demographic bias.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2"/>
        </w:rPr>
        <w:t xml:space="preserve">Pillar 5: Self-Service Risk Data Mesh — </w:t>
      </w:r>
      <w:r>
        <w:rPr>
          <w:rFonts w:ascii="Calibri" w:hAnsi="Calibri"/>
          <w:color w:val="334155"/>
          <w:sz w:val="22"/>
        </w:rPr>
        <w:t>Democratized feature store APIs for ad-hoc risk views.</w:t>
      </w:r>
    </w:p>
    <w:p>
      <w:pPr>
        <w:keepNext/>
        <w:spacing w:before="360" w:after="120"/>
      </w:pPr>
      <w:r>
        <w:rPr>
          <w:rFonts w:ascii="Arial" w:hAnsi="Arial"/>
          <w:b/>
          <w:color w:val="0F172A"/>
          <w:sz w:val="36"/>
        </w:rPr>
        <w:t>10. Credit Management Worked Examples &amp; Templates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2"/>
        </w:rPr>
        <w:t>Includes fully worked Geoffrey Moore and Roman Pichler Vision Boards customized for Credit Analytics.</w:t>
      </w:r>
    </w:p>
    <w:p>
      <w:pPr>
        <w:keepNext/>
        <w:spacing w:before="360" w:after="120"/>
      </w:pPr>
      <w:r>
        <w:rPr>
          <w:rFonts w:ascii="Arial" w:hAnsi="Arial"/>
          <w:b/>
          <w:color w:val="0F172A"/>
          <w:sz w:val="36"/>
        </w:rPr>
        <w:t>11. Metric Architecture &amp; North Star Metrics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CFE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E7490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0F172A"/>
                <w:sz w:val="22"/>
              </w:rPr>
              <w:t>📌 North Star Metric: RADEI Formula</w:t>
            </w:r>
          </w:p>
          <w:p>
            <w:pPr>
              <w:spacing w:before="40" w:after="80"/>
            </w:pPr>
            <w:r>
              <w:rPr>
                <w:rFonts w:ascii="Arial" w:hAnsi="Arial"/>
                <w:color w:val="334155"/>
                <w:sz w:val="20"/>
              </w:rPr>
              <w:t>Risk-Adjusted Decision Efficiency Index (RADEI) = (Automated Approval Rate % × Model Gini Score) ÷ (Default Rate % + Decision Latency Sec)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Arial" w:hAnsi="Arial"/>
          <w:b/>
          <w:color w:val="0F172A"/>
          <w:sz w:val="36"/>
        </w:rPr>
        <w:t>12. The 30-60-90 Day PO Execution Roadmap &amp; Readiness Audit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2"/>
        </w:rPr>
        <w:t>Includes Month 1 Discover &amp; Audit, Month 2 Formulate &amp; Align, Month 3 Execute &amp; Scale, plus the 6-point Vision Readiness Checklist.</w:t>
      </w:r>
    </w:p>
    <w:p>
      <w:pPr>
        <w:spacing w:before="320"/>
      </w:pPr>
      <w:r>
        <w:rPr>
          <w:rFonts w:ascii="Arial" w:hAnsi="Arial"/>
          <w:i/>
          <w:color w:val="64748B"/>
          <w:sz w:val="20"/>
        </w:rPr>
        <w:t>Guide Prepared By: Lead Product Manager / Product Vision Coach</w:t>
        <w:br/>
        <w:t>Approved For Use In: Data &amp; Analytics Tribe Masterclass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