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fund-order-templates-read-me-first"/>
    <w:p>
      <w:pPr>
        <w:pStyle w:val="Heading1"/>
        <w:keepNext/>
        <w:spacing w:before="240" w:after="80"/>
        <w:pBdr>
          <w:bottom w:val="single" w:sz="6" w:space="1" w:color="B4C6E7"/>
        </w:pBdr>
      </w:pPr>
      <w:r>
        <w:rPr>
          <w:b/>
          <w:color w:val="1F3864"/>
          <w:sz w:val="25"/>
        </w:rPr>
        <w:t xml:space="preserve">Refund order templates: read me first</w:t>
      </w:r>
    </w:p>
    <w:p>
      <w:pPr>
        <w:pStyle w:val="FirstParagraph"/>
        <w:spacing w:before="0" w:after="120" w:line="269" w:lineRule="auto"/>
        <w:jc w:val="both"/>
      </w:pPr>
      <w:r>
        <w:rPr>
          <w:bCs/>
          <w:b/>
        </w:rPr>
        <w:t xml:space="preserve">Look of the orders.</w:t>
      </w:r>
      <w:r>
        <w:t xml:space="preserve"> </w:t>
      </w:r>
      <w:r>
        <w:t xml:space="preserve">Every order and notice opens with the bilingual Government of India letterhead of the Sangareddy CGST Division, Medchal CGST Commissionerate, and the</w:t>
      </w:r>
      <w:r>
        <w:t xml:space="preserve"> </w:t>
      </w:r>
      <w:r>
        <w:t xml:space="preserve">“</w:t>
      </w:r>
      <w:r>
        <w:t xml:space="preserve">GST: One Nation, One Tax</w:t>
      </w:r>
      <w:r>
        <w:t xml:space="preserve">”</w:t>
      </w:r>
      <w:r>
        <w:t xml:space="preserve"> </w:t>
      </w:r>
      <w:r>
        <w:t xml:space="preserve">band; every page carries the order number in the header and</w:t>
      </w:r>
      <w:r>
        <w:t xml:space="preserve"> </w:t>
      </w:r>
      <w:r>
        <w:t xml:space="preserve">“</w:t>
      </w:r>
      <w:r>
        <w:t xml:space="preserve">Page X of Y</w:t>
      </w:r>
      <w:r>
        <w:t xml:space="preserve">”</w:t>
      </w:r>
      <w:r>
        <w:t xml:space="preserve"> </w:t>
      </w:r>
      <w:r>
        <w:t xml:space="preserve">in the footer. The office, officer and appellate-authority details are set once in source/build.py (OFFICE), so a change there updates all templates.</w:t>
      </w:r>
    </w:p>
    <w:p>
      <w:pPr>
        <w:pStyle w:val="BodyText"/>
        <w:spacing w:before="0" w:after="120" w:line="269" w:lineRule="auto"/>
      </w:pPr>
      <w:r>
        <w:rPr>
          <w:bCs/>
          <w:b/>
        </w:rPr>
        <w:t xml:space="preserve">What is in this folder</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283"/>
        <w:gridCol w:w="3527"/>
        <w:gridCol w:w="2328"/>
        <w:gridCol w:w="2500"/>
      </w:tblGrid>
      <w:tr>
        <w:trPr>
          <w:tblHeader w:val="true"/>
          <w:tblHeader/>
        </w:trPr>
        <w:tc>
          <w:tcPr>
            <w:tcW w:type="dxa" w:w="1283"/>
            <w:shd w:val="clear" w:color="auto" w:fill="DCE6F1"/>
          </w:tcPr>
          <w:p>
            <w:pPr>
              <w:pStyle w:val="Compact"/>
              <w:spacing w:before="0" w:after="0" w:line="240" w:lineRule="auto"/>
              <w:jc w:val="left"/>
            </w:pPr>
            <w:r>
              <w:rPr>
                <w:b/>
                <w:color w:val="1F3864"/>
                <w:sz w:val="21"/>
              </w:rPr>
              <w:t xml:space="preserve">File</w:t>
            </w:r>
          </w:p>
        </w:tc>
        <w:tc>
          <w:tcPr>
            <w:tcW w:type="dxa" w:w="3527"/>
            <w:shd w:val="clear" w:color="auto" w:fill="DCE6F1"/>
          </w:tcPr>
          <w:p>
            <w:pPr>
              <w:pStyle w:val="Compact"/>
              <w:spacing w:before="0" w:after="0" w:line="240" w:lineRule="auto"/>
              <w:jc w:val="left"/>
            </w:pPr>
            <w:r>
              <w:rPr>
                <w:b/>
                <w:color w:val="1F3864"/>
                <w:sz w:val="21"/>
              </w:rPr>
              <w:t xml:space="preserve">Use it for</w:t>
            </w:r>
          </w:p>
        </w:tc>
        <w:tc>
          <w:tcPr>
            <w:tcW w:type="dxa" w:w="2328"/>
            <w:shd w:val="clear" w:color="auto" w:fill="DCE6F1"/>
          </w:tcPr>
          <w:p>
            <w:pPr>
              <w:pStyle w:val="Compact"/>
              <w:spacing w:before="0" w:after="0" w:line="240" w:lineRule="auto"/>
              <w:jc w:val="left"/>
            </w:pPr>
            <w:r>
              <w:rPr>
                <w:b/>
                <w:color w:val="1F3864"/>
                <w:sz w:val="21"/>
              </w:rPr>
              <w:t xml:space="preserve">Category in RFD-01</w:t>
            </w:r>
          </w:p>
        </w:tc>
        <w:tc>
          <w:tcPr>
            <w:tcW w:type="dxa" w:w="2500"/>
            <w:shd w:val="clear" w:color="auto" w:fill="DCE6F1"/>
          </w:tcPr>
          <w:p>
            <w:pPr>
              <w:pStyle w:val="Compact"/>
              <w:spacing w:before="0" w:after="0" w:line="240" w:lineRule="auto"/>
              <w:jc w:val="left"/>
            </w:pPr>
            <w:r>
              <w:rPr>
                <w:b/>
                <w:color w:val="1F3864"/>
                <w:sz w:val="21"/>
              </w:rPr>
              <w:t xml:space="preserve">Key law</w:t>
            </w:r>
          </w:p>
        </w:tc>
      </w:tr>
      <w:tr>
        <w:tc>
          <w:tcPr>
            <w:tcW w:type="dxa" w:w="1283"/>
          </w:tcPr>
          <w:p>
            <w:pPr>
              <w:pStyle w:val="Compact"/>
              <w:spacing w:before="0" w:after="0" w:line="240" w:lineRule="auto"/>
              <w:jc w:val="left"/>
            </w:pPr>
            <w:r>
              <w:rPr>
                <w:sz w:val="21"/>
              </w:rPr>
              <w:t xml:space="preserve">C1 Refund checklist</w:t>
            </w:r>
          </w:p>
        </w:tc>
        <w:tc>
          <w:tcPr>
            <w:tcW w:type="dxa" w:w="3527"/>
          </w:tcPr>
          <w:p>
            <w:pPr>
              <w:pStyle w:val="Compact"/>
              <w:spacing w:before="0" w:after="0" w:line="240" w:lineRule="auto"/>
              <w:jc w:val="left"/>
            </w:pPr>
            <w:r>
              <w:rPr>
                <w:sz w:val="21"/>
              </w:rPr>
              <w:t xml:space="preserve">Every refund application, from receipt to post-order</w:t>
            </w:r>
          </w:p>
        </w:tc>
        <w:tc>
          <w:tcPr>
            <w:tcW w:type="dxa" w:w="2328"/>
          </w:tcPr>
          <w:p>
            <w:pPr>
              <w:pStyle w:val="Compact"/>
              <w:spacing w:before="0" w:after="0" w:line="240" w:lineRule="auto"/>
              <w:jc w:val="left"/>
            </w:pPr>
            <w:r>
              <w:rPr>
                <w:sz w:val="21"/>
              </w:rPr>
              <w:t xml:space="preserve">All</w:t>
            </w:r>
          </w:p>
        </w:tc>
        <w:tc>
          <w:tcPr>
            <w:tcW w:type="dxa" w:w="2500"/>
          </w:tcPr>
          <w:p>
            <w:pPr>
              <w:pStyle w:val="Compact"/>
              <w:spacing w:before="0" w:after="0" w:line="240" w:lineRule="auto"/>
              <w:jc w:val="left"/>
            </w:pPr>
            <w:r>
              <w:rPr>
                <w:sz w:val="21"/>
              </w:rPr>
              <w:t xml:space="preserve">Rules 89 to 94; Circular 125/44/2019; Instruction 06/2025-GST</w:t>
            </w:r>
          </w:p>
        </w:tc>
      </w:tr>
      <w:tr>
        <w:tc>
          <w:tcPr>
            <w:tcW w:type="dxa" w:w="1283"/>
          </w:tcPr>
          <w:p>
            <w:pPr>
              <w:pStyle w:val="Compact"/>
              <w:spacing w:before="0" w:after="0" w:line="240" w:lineRule="auto"/>
              <w:jc w:val="left"/>
            </w:pPr>
            <w:r>
              <w:rPr>
                <w:sz w:val="21"/>
              </w:rPr>
              <w:t xml:space="preserve">N1 RFD-08 notice</w:t>
            </w:r>
          </w:p>
        </w:tc>
        <w:tc>
          <w:tcPr>
            <w:tcW w:type="dxa" w:w="3527"/>
          </w:tcPr>
          <w:p>
            <w:pPr>
              <w:pStyle w:val="Compact"/>
              <w:spacing w:before="0" w:after="0" w:line="240" w:lineRule="auto"/>
              <w:jc w:val="left"/>
            </w:pPr>
            <w:r>
              <w:rPr>
                <w:sz w:val="21"/>
              </w:rPr>
              <w:t xml:space="preserve">Proposing to reject any part of a claim; optionally also demanding ineligible ITC</w:t>
            </w:r>
          </w:p>
        </w:tc>
        <w:tc>
          <w:tcPr>
            <w:tcW w:type="dxa" w:w="2328"/>
          </w:tcPr>
          <w:p>
            <w:pPr>
              <w:pStyle w:val="Compact"/>
              <w:spacing w:before="0" w:after="0" w:line="240" w:lineRule="auto"/>
              <w:jc w:val="left"/>
            </w:pPr>
            <w:r>
              <w:rPr>
                <w:sz w:val="21"/>
              </w:rPr>
              <w:t xml:space="preserve">All</w:t>
            </w:r>
          </w:p>
        </w:tc>
        <w:tc>
          <w:tcPr>
            <w:tcW w:type="dxa" w:w="2500"/>
          </w:tcPr>
          <w:p>
            <w:pPr>
              <w:pStyle w:val="Compact"/>
              <w:spacing w:before="0" w:after="0" w:line="240" w:lineRule="auto"/>
              <w:jc w:val="left"/>
            </w:pPr>
            <w:r>
              <w:rPr>
                <w:sz w:val="21"/>
              </w:rPr>
              <w:t xml:space="preserve">Rule 92(3); Circular 125 paras 20 to 23</w:t>
            </w:r>
          </w:p>
        </w:tc>
      </w:tr>
      <w:tr>
        <w:tc>
          <w:tcPr>
            <w:tcW w:type="dxa" w:w="1283"/>
          </w:tcPr>
          <w:p>
            <w:pPr>
              <w:pStyle w:val="Compact"/>
              <w:spacing w:before="0" w:after="0" w:line="240" w:lineRule="auto"/>
              <w:jc w:val="left"/>
            </w:pPr>
            <w:r>
              <w:rPr>
                <w:sz w:val="21"/>
              </w:rPr>
              <w:t xml:space="preserve">T1 Inverted duty</w:t>
            </w:r>
          </w:p>
        </w:tc>
        <w:tc>
          <w:tcPr>
            <w:tcW w:type="dxa" w:w="3527"/>
          </w:tcPr>
          <w:p>
            <w:pPr>
              <w:pStyle w:val="Compact"/>
              <w:spacing w:before="0" w:after="0" w:line="240" w:lineRule="auto"/>
              <w:jc w:val="left"/>
            </w:pPr>
            <w:r>
              <w:rPr>
                <w:sz w:val="21"/>
              </w:rPr>
              <w:t xml:space="preserve">Unutilised ITC because inputs are taxed higher than outputs</w:t>
            </w:r>
          </w:p>
        </w:tc>
        <w:tc>
          <w:tcPr>
            <w:tcW w:type="dxa" w:w="2328"/>
          </w:tcPr>
          <w:p>
            <w:pPr>
              <w:pStyle w:val="Compact"/>
              <w:spacing w:before="0" w:after="0" w:line="240" w:lineRule="auto"/>
              <w:jc w:val="left"/>
            </w:pPr>
            <w:r>
              <w:rPr>
                <w:sz w:val="21"/>
              </w:rPr>
              <w:t xml:space="preserve">ITC accumulated due to inverted tax structure</w:t>
            </w:r>
          </w:p>
        </w:tc>
        <w:tc>
          <w:tcPr>
            <w:tcW w:type="dxa" w:w="2500"/>
          </w:tcPr>
          <w:p>
            <w:pPr>
              <w:pStyle w:val="Compact"/>
              <w:spacing w:before="0" w:after="0" w:line="240" w:lineRule="auto"/>
              <w:jc w:val="left"/>
            </w:pPr>
            <w:r>
              <w:rPr>
                <w:sz w:val="21"/>
              </w:rPr>
              <w:t xml:space="preserve">Section 54(3)(ii); rule 89(5)</w:t>
            </w:r>
          </w:p>
        </w:tc>
      </w:tr>
      <w:tr>
        <w:tc>
          <w:tcPr>
            <w:tcW w:type="dxa" w:w="1283"/>
          </w:tcPr>
          <w:p>
            <w:pPr>
              <w:pStyle w:val="Compact"/>
              <w:spacing w:before="0" w:after="0" w:line="240" w:lineRule="auto"/>
              <w:jc w:val="left"/>
            </w:pPr>
            <w:r>
              <w:rPr>
                <w:sz w:val="21"/>
              </w:rPr>
              <w:t xml:space="preserve">T2 Export of goods (LUT)</w:t>
            </w:r>
          </w:p>
        </w:tc>
        <w:tc>
          <w:tcPr>
            <w:tcW w:type="dxa" w:w="3527"/>
          </w:tcPr>
          <w:p>
            <w:pPr>
              <w:pStyle w:val="Compact"/>
              <w:spacing w:before="0" w:after="0" w:line="240" w:lineRule="auto"/>
              <w:jc w:val="left"/>
            </w:pPr>
            <w:r>
              <w:rPr>
                <w:sz w:val="21"/>
              </w:rPr>
              <w:t xml:space="preserve">Unutilised ITC on goods exported without IGST</w:t>
            </w:r>
          </w:p>
        </w:tc>
        <w:tc>
          <w:tcPr>
            <w:tcW w:type="dxa" w:w="2328"/>
          </w:tcPr>
          <w:p>
            <w:pPr>
              <w:pStyle w:val="Compact"/>
              <w:spacing w:before="0" w:after="0" w:line="240" w:lineRule="auto"/>
              <w:jc w:val="left"/>
            </w:pPr>
            <w:r>
              <w:rPr>
                <w:sz w:val="21"/>
              </w:rPr>
              <w:t xml:space="preserve">Export without payment of tax</w:t>
            </w:r>
          </w:p>
        </w:tc>
        <w:tc>
          <w:tcPr>
            <w:tcW w:type="dxa" w:w="2500"/>
          </w:tcPr>
          <w:p>
            <w:pPr>
              <w:pStyle w:val="Compact"/>
              <w:spacing w:before="0" w:after="0" w:line="240" w:lineRule="auto"/>
              <w:jc w:val="left"/>
            </w:pPr>
            <w:r>
              <w:rPr>
                <w:sz w:val="21"/>
              </w:rPr>
              <w:t xml:space="preserve">Section 54(3)(i); IGST section 16(3); rule 89(4)</w:t>
            </w:r>
          </w:p>
        </w:tc>
      </w:tr>
      <w:tr>
        <w:tc>
          <w:tcPr>
            <w:tcW w:type="dxa" w:w="1283"/>
          </w:tcPr>
          <w:p>
            <w:pPr>
              <w:pStyle w:val="Compact"/>
              <w:spacing w:before="0" w:after="0" w:line="240" w:lineRule="auto"/>
              <w:jc w:val="left"/>
            </w:pPr>
            <w:r>
              <w:rPr>
                <w:sz w:val="21"/>
              </w:rPr>
              <w:t xml:space="preserve">T3 Export of services (LUT)</w:t>
            </w:r>
          </w:p>
        </w:tc>
        <w:tc>
          <w:tcPr>
            <w:tcW w:type="dxa" w:w="3527"/>
          </w:tcPr>
          <w:p>
            <w:pPr>
              <w:pStyle w:val="Compact"/>
              <w:spacing w:before="0" w:after="0" w:line="240" w:lineRule="auto"/>
              <w:jc w:val="left"/>
            </w:pPr>
            <w:r>
              <w:rPr>
                <w:sz w:val="21"/>
              </w:rPr>
              <w:t xml:space="preserve">Unutilised ITC on services exported without IGST</w:t>
            </w:r>
          </w:p>
        </w:tc>
        <w:tc>
          <w:tcPr>
            <w:tcW w:type="dxa" w:w="2328"/>
          </w:tcPr>
          <w:p>
            <w:pPr>
              <w:pStyle w:val="Compact"/>
              <w:spacing w:before="0" w:after="0" w:line="240" w:lineRule="auto"/>
              <w:jc w:val="left"/>
            </w:pPr>
            <w:r>
              <w:rPr>
                <w:sz w:val="21"/>
              </w:rPr>
              <w:t xml:space="preserve">Export without payment of tax</w:t>
            </w:r>
          </w:p>
        </w:tc>
        <w:tc>
          <w:tcPr>
            <w:tcW w:type="dxa" w:w="2500"/>
          </w:tcPr>
          <w:p>
            <w:pPr>
              <w:pStyle w:val="Compact"/>
              <w:spacing w:before="0" w:after="0" w:line="240" w:lineRule="auto"/>
              <w:jc w:val="left"/>
            </w:pPr>
            <w:r>
              <w:rPr>
                <w:sz w:val="21"/>
              </w:rPr>
              <w:t xml:space="preserve">IGST sections 2(6), 13, 16(3); rule 89(4)</w:t>
            </w:r>
          </w:p>
        </w:tc>
      </w:tr>
      <w:tr>
        <w:tc>
          <w:tcPr>
            <w:tcW w:type="dxa" w:w="1283"/>
          </w:tcPr>
          <w:p>
            <w:pPr>
              <w:pStyle w:val="Compact"/>
              <w:spacing w:before="0" w:after="0" w:line="240" w:lineRule="auto"/>
              <w:jc w:val="left"/>
            </w:pPr>
            <w:r>
              <w:rPr>
                <w:sz w:val="21"/>
              </w:rPr>
              <w:t xml:space="preserve">T4 SEZ supplies (LUT)</w:t>
            </w:r>
          </w:p>
        </w:tc>
        <w:tc>
          <w:tcPr>
            <w:tcW w:type="dxa" w:w="3527"/>
          </w:tcPr>
          <w:p>
            <w:pPr>
              <w:pStyle w:val="Compact"/>
              <w:spacing w:before="0" w:after="0" w:line="240" w:lineRule="auto"/>
              <w:jc w:val="left"/>
            </w:pPr>
            <w:r>
              <w:rPr>
                <w:sz w:val="21"/>
              </w:rPr>
              <w:t xml:space="preserve">Unutilised ITC on supplies to SEZ units / developers without IGST</w:t>
            </w:r>
          </w:p>
        </w:tc>
        <w:tc>
          <w:tcPr>
            <w:tcW w:type="dxa" w:w="2328"/>
          </w:tcPr>
          <w:p>
            <w:pPr>
              <w:pStyle w:val="Compact"/>
              <w:spacing w:before="0" w:after="0" w:line="240" w:lineRule="auto"/>
              <w:jc w:val="left"/>
            </w:pPr>
            <w:r>
              <w:rPr>
                <w:sz w:val="21"/>
              </w:rPr>
              <w:t xml:space="preserve">Supplies to SEZ without payment of tax</w:t>
            </w:r>
          </w:p>
        </w:tc>
        <w:tc>
          <w:tcPr>
            <w:tcW w:type="dxa" w:w="2500"/>
          </w:tcPr>
          <w:p>
            <w:pPr>
              <w:pStyle w:val="Compact"/>
              <w:spacing w:before="0" w:after="0" w:line="240" w:lineRule="auto"/>
              <w:jc w:val="left"/>
            </w:pPr>
            <w:r>
              <w:rPr>
                <w:sz w:val="21"/>
              </w:rPr>
              <w:t xml:space="preserve">IGST section 16(1)(b); proviso to rule 89(1) on SEZ supplies, 89(4)</w:t>
            </w:r>
          </w:p>
        </w:tc>
      </w:tr>
      <w:tr>
        <w:tc>
          <w:tcPr>
            <w:tcW w:type="dxa" w:w="1283"/>
          </w:tcPr>
          <w:p>
            <w:pPr>
              <w:pStyle w:val="Compact"/>
              <w:spacing w:before="0" w:after="0" w:line="240" w:lineRule="auto"/>
              <w:jc w:val="left"/>
            </w:pPr>
            <w:r>
              <w:rPr>
                <w:sz w:val="21"/>
              </w:rPr>
              <w:t xml:space="preserve">T5 Export of services (IGST paid)</w:t>
            </w:r>
          </w:p>
        </w:tc>
        <w:tc>
          <w:tcPr>
            <w:tcW w:type="dxa" w:w="3527"/>
          </w:tcPr>
          <w:p>
            <w:pPr>
              <w:pStyle w:val="Compact"/>
              <w:spacing w:before="0" w:after="0" w:line="240" w:lineRule="auto"/>
              <w:jc w:val="left"/>
            </w:pPr>
            <w:r>
              <w:rPr>
                <w:sz w:val="21"/>
              </w:rPr>
              <w:t xml:space="preserve">Refund of IGST paid on services exported</w:t>
            </w:r>
          </w:p>
        </w:tc>
        <w:tc>
          <w:tcPr>
            <w:tcW w:type="dxa" w:w="2328"/>
          </w:tcPr>
          <w:p>
            <w:pPr>
              <w:pStyle w:val="Compact"/>
              <w:spacing w:before="0" w:after="0" w:line="240" w:lineRule="auto"/>
              <w:jc w:val="left"/>
            </w:pPr>
            <w:r>
              <w:rPr>
                <w:sz w:val="21"/>
              </w:rPr>
              <w:t xml:space="preserve">Export of services with payment of tax</w:t>
            </w:r>
          </w:p>
        </w:tc>
        <w:tc>
          <w:tcPr>
            <w:tcW w:type="dxa" w:w="2500"/>
          </w:tcPr>
          <w:p>
            <w:pPr>
              <w:pStyle w:val="Compact"/>
              <w:spacing w:before="0" w:after="0" w:line="240" w:lineRule="auto"/>
              <w:jc w:val="left"/>
            </w:pPr>
            <w:r>
              <w:rPr>
                <w:sz w:val="21"/>
              </w:rPr>
              <w:t xml:space="preserve">IGST section 16(4); Notification 01/2023-IT</w:t>
            </w:r>
          </w:p>
        </w:tc>
      </w:tr>
      <w:tr>
        <w:tc>
          <w:tcPr>
            <w:tcW w:type="dxa" w:w="1283"/>
          </w:tcPr>
          <w:p>
            <w:pPr>
              <w:pStyle w:val="Compact"/>
              <w:spacing w:before="0" w:after="0" w:line="240" w:lineRule="auto"/>
              <w:jc w:val="left"/>
            </w:pPr>
            <w:r>
              <w:rPr>
                <w:sz w:val="21"/>
              </w:rPr>
              <w:t xml:space="preserve">T6 SEZ supplies (IGST paid)</w:t>
            </w:r>
          </w:p>
        </w:tc>
        <w:tc>
          <w:tcPr>
            <w:tcW w:type="dxa" w:w="3527"/>
          </w:tcPr>
          <w:p>
            <w:pPr>
              <w:pStyle w:val="Compact"/>
              <w:spacing w:before="0" w:after="0" w:line="240" w:lineRule="auto"/>
              <w:jc w:val="left"/>
            </w:pPr>
            <w:r>
              <w:rPr>
                <w:sz w:val="21"/>
              </w:rPr>
              <w:t xml:space="preserve">Refund of IGST paid on supplies to SEZ</w:t>
            </w:r>
          </w:p>
        </w:tc>
        <w:tc>
          <w:tcPr>
            <w:tcW w:type="dxa" w:w="2328"/>
          </w:tcPr>
          <w:p>
            <w:pPr>
              <w:pStyle w:val="Compact"/>
              <w:spacing w:before="0" w:after="0" w:line="240" w:lineRule="auto"/>
              <w:jc w:val="left"/>
            </w:pPr>
            <w:r>
              <w:rPr>
                <w:sz w:val="21"/>
              </w:rPr>
              <w:t xml:space="preserve">Supplies to SEZ with payment of tax</w:t>
            </w:r>
          </w:p>
        </w:tc>
        <w:tc>
          <w:tcPr>
            <w:tcW w:type="dxa" w:w="2500"/>
          </w:tcPr>
          <w:p>
            <w:pPr>
              <w:pStyle w:val="Compact"/>
              <w:spacing w:before="0" w:after="0" w:line="240" w:lineRule="auto"/>
              <w:jc w:val="left"/>
            </w:pPr>
            <w:r>
              <w:rPr>
                <w:sz w:val="21"/>
              </w:rPr>
              <w:t xml:space="preserve">IGST section 16(4); rule 89(2)(f)</w:t>
            </w:r>
          </w:p>
        </w:tc>
      </w:tr>
      <w:tr>
        <w:tc>
          <w:tcPr>
            <w:tcW w:type="dxa" w:w="1283"/>
          </w:tcPr>
          <w:p>
            <w:pPr>
              <w:pStyle w:val="Compact"/>
              <w:spacing w:before="0" w:after="0" w:line="240" w:lineRule="auto"/>
              <w:jc w:val="left"/>
            </w:pPr>
            <w:r>
              <w:rPr>
                <w:sz w:val="21"/>
              </w:rPr>
              <w:t xml:space="preserve">T7 Excess cash ledger</w:t>
            </w:r>
          </w:p>
        </w:tc>
        <w:tc>
          <w:tcPr>
            <w:tcW w:type="dxa" w:w="3527"/>
          </w:tcPr>
          <w:p>
            <w:pPr>
              <w:pStyle w:val="Compact"/>
              <w:spacing w:before="0" w:after="0" w:line="240" w:lineRule="auto"/>
              <w:jc w:val="left"/>
            </w:pPr>
            <w:r>
              <w:rPr>
                <w:sz w:val="21"/>
              </w:rPr>
              <w:t xml:space="preserve">Unutilised balance in the electronic cash ledger</w:t>
            </w:r>
          </w:p>
        </w:tc>
        <w:tc>
          <w:tcPr>
            <w:tcW w:type="dxa" w:w="2328"/>
          </w:tcPr>
          <w:p>
            <w:pPr>
              <w:pStyle w:val="Compact"/>
              <w:spacing w:before="0" w:after="0" w:line="240" w:lineRule="auto"/>
              <w:jc w:val="left"/>
            </w:pPr>
            <w:r>
              <w:rPr>
                <w:sz w:val="21"/>
              </w:rPr>
              <w:t xml:space="preserve">Excess balance in electronic cash ledger</w:t>
            </w:r>
          </w:p>
        </w:tc>
        <w:tc>
          <w:tcPr>
            <w:tcW w:type="dxa" w:w="2500"/>
          </w:tcPr>
          <w:p>
            <w:pPr>
              <w:pStyle w:val="Compact"/>
              <w:spacing w:before="0" w:after="0" w:line="240" w:lineRule="auto"/>
              <w:jc w:val="left"/>
            </w:pPr>
            <w:r>
              <w:rPr>
                <w:sz w:val="21"/>
              </w:rPr>
              <w:t xml:space="preserve">Section 49(6); Circular 166/22/2021</w:t>
            </w:r>
          </w:p>
        </w:tc>
      </w:tr>
      <w:tr>
        <w:tc>
          <w:tcPr>
            <w:tcW w:type="dxa" w:w="1283"/>
          </w:tcPr>
          <w:p>
            <w:pPr>
              <w:pStyle w:val="Compact"/>
              <w:spacing w:before="0" w:after="0" w:line="240" w:lineRule="auto"/>
              <w:jc w:val="left"/>
            </w:pPr>
            <w:r>
              <w:rPr>
                <w:sz w:val="21"/>
              </w:rPr>
              <w:t xml:space="preserve">T8 Appeal / pre-deposit</w:t>
            </w:r>
          </w:p>
        </w:tc>
        <w:tc>
          <w:tcPr>
            <w:tcW w:type="dxa" w:w="3527"/>
          </w:tcPr>
          <w:p>
            <w:pPr>
              <w:pStyle w:val="Compact"/>
              <w:spacing w:before="0" w:after="0" w:line="240" w:lineRule="auto"/>
              <w:jc w:val="left"/>
            </w:pPr>
            <w:r>
              <w:rPr>
                <w:sz w:val="21"/>
              </w:rPr>
              <w:t xml:space="preserve">Refund after an order-in-appeal or Tribunal order, with section 115 interest; also a refund rejected by RFD-06 and later allowed in appeal (Option D)</w:t>
            </w:r>
          </w:p>
        </w:tc>
        <w:tc>
          <w:tcPr>
            <w:tcW w:type="dxa" w:w="2328"/>
          </w:tcPr>
          <w:p>
            <w:pPr>
              <w:pStyle w:val="Compact"/>
              <w:spacing w:before="0" w:after="0" w:line="240" w:lineRule="auto"/>
              <w:jc w:val="left"/>
            </w:pPr>
            <w:r>
              <w:rPr>
                <w:sz w:val="21"/>
              </w:rPr>
              <w:t xml:space="preserve">On account of assessment / provisional assessment / appeal / any other order [or the separate pre-deposit category, if the portal offers one]</w:t>
            </w:r>
          </w:p>
        </w:tc>
        <w:tc>
          <w:tcPr>
            <w:tcW w:type="dxa" w:w="2500"/>
          </w:tcPr>
          <w:p>
            <w:pPr>
              <w:pStyle w:val="Compact"/>
              <w:spacing w:before="0" w:after="0" w:line="240" w:lineRule="auto"/>
              <w:jc w:val="left"/>
            </w:pPr>
            <w:r>
              <w:rPr>
                <w:sz w:val="21"/>
              </w:rPr>
              <w:t xml:space="preserve">Section 54(8)(e), Explanation 2(d); section 115</w:t>
            </w:r>
          </w:p>
        </w:tc>
      </w:tr>
    </w:tbl>
    <w:p>
      <w:pPr>
        <w:pStyle w:val="BodyText"/>
        <w:spacing w:before="0" w:after="120" w:line="269" w:lineRule="auto"/>
        <w:jc w:val="both"/>
      </w:pPr>
      <w:r>
        <w:t xml:space="preserve">Refund of IGST paid on</w:t>
      </w:r>
      <w:r>
        <w:t xml:space="preserve"> </w:t>
      </w:r>
      <w:r>
        <w:rPr>
          <w:bCs/>
          <w:b/>
        </w:rPr>
        <w:t xml:space="preserve">goods exported</w:t>
      </w:r>
      <w:r>
        <w:t xml:space="preserve"> </w:t>
      </w:r>
      <w:r>
        <w:t xml:space="preserve">is processed through ICEGATE under rule 96 and needs no RFD-06,</w:t>
      </w:r>
      <w:r>
        <w:t xml:space="preserve"> </w:t>
      </w:r>
      <w:r>
        <w:rPr>
          <w:bCs/>
          <w:b/>
        </w:rPr>
        <w:t xml:space="preserve">except</w:t>
      </w:r>
      <w:r>
        <w:t xml:space="preserve"> </w:t>
      </w:r>
      <w:r>
        <w:t xml:space="preserve">where the claim is withheld under rule 96(4) and transmitted to the proper officer as a system-generated RFD-01 (rule 96(5A) to (5C)). Such a claim is decided under rule 89 by an RFD-06: adapt T2 and use C1 item D2. Deemed exports and excess payment of tax are covered in the checklist (D9, D10); templates for them can be added on the same pattern.</w:t>
      </w:r>
    </w:p>
    <w:p>
      <w:pPr>
        <w:pStyle w:val="BodyText"/>
        <w:spacing w:before="0" w:after="120" w:line="269" w:lineRule="auto"/>
      </w:pPr>
      <w:r>
        <w:rPr>
          <w:bCs/>
          <w:b/>
        </w:rPr>
        <w:t xml:space="preserve">How to adopt a template</w:t>
      </w:r>
    </w:p>
    <w:p>
      <w:pPr>
        <w:numPr>
          <w:ilvl w:val="0"/>
          <w:numId w:val="1001"/>
        </w:numPr>
        <w:pStyle w:val="Compact"/>
        <w:spacing w:before="0" w:after="120" w:line="269" w:lineRule="auto"/>
      </w:pPr>
      <w:r>
        <w:t xml:space="preserve">Open the Word file for the category and save a copy for the case.</w:t>
      </w:r>
    </w:p>
    <w:p>
      <w:pPr>
        <w:numPr>
          <w:ilvl w:val="0"/>
          <w:numId w:val="1001"/>
        </w:numPr>
        <w:pStyle w:val="Compact"/>
        <w:spacing w:before="0" w:after="120" w:line="269" w:lineRule="auto"/>
      </w:pPr>
      <w:r>
        <w:t xml:space="preserve">Fill every [square bracket]. Where you see</w:t>
      </w:r>
      <w:r>
        <w:t xml:space="preserve"> </w:t>
      </w:r>
      <w:r>
        <w:rPr>
          <w:bCs/>
          <w:b/>
        </w:rPr>
        <w:t xml:space="preserve">[Option A]</w:t>
      </w:r>
      <w:r>
        <w:t xml:space="preserve">,</w:t>
      </w:r>
      <w:r>
        <w:t xml:space="preserve"> </w:t>
      </w:r>
      <w:r>
        <w:rPr>
          <w:bCs/>
          <w:b/>
        </w:rPr>
        <w:t xml:space="preserve">[Option B]</w:t>
      </w:r>
      <w:r>
        <w:t xml:space="preserve">, keep the one that fits and delete the others.</w:t>
      </w:r>
    </w:p>
    <w:p>
      <w:pPr>
        <w:numPr>
          <w:ilvl w:val="0"/>
          <w:numId w:val="1001"/>
        </w:numPr>
        <w:pStyle w:val="Compact"/>
        <w:spacing w:before="0" w:after="120" w:line="269" w:lineRule="auto"/>
      </w:pPr>
      <w:r>
        <w:t xml:space="preserve">Delete every grey</w:t>
      </w:r>
      <w:r>
        <w:t xml:space="preserve"> </w:t>
      </w:r>
      <w:r>
        <w:t xml:space="preserve">“</w:t>
      </w:r>
      <w:r>
        <w:t xml:space="preserve">Drafting note</w:t>
      </w:r>
      <w:r>
        <w:t xml:space="preserve">”</w:t>
      </w:r>
      <w:r>
        <w:t xml:space="preserve"> </w:t>
      </w:r>
      <w:r>
        <w:t xml:space="preserve">box. They are instructions to the officer, not part of the order.</w:t>
      </w:r>
    </w:p>
    <w:p>
      <w:pPr>
        <w:numPr>
          <w:ilvl w:val="0"/>
          <w:numId w:val="1001"/>
        </w:numPr>
        <w:pStyle w:val="Compact"/>
        <w:spacing w:before="0" w:after="120" w:line="269" w:lineRule="auto"/>
      </w:pPr>
      <w:r>
        <w:t xml:space="preserve">Do the final check printed just above the signature: the computed amount, the table in para 11, the ORDER and the amount in words must agree.</w:t>
      </w:r>
    </w:p>
    <w:p>
      <w:pPr>
        <w:numPr>
          <w:ilvl w:val="0"/>
          <w:numId w:val="1001"/>
        </w:numPr>
        <w:pStyle w:val="Compact"/>
        <w:spacing w:before="0" w:after="120" w:line="269" w:lineRule="auto"/>
      </w:pPr>
      <w:r>
        <w:t xml:space="preserve">Upload the order with FORM GST RFD-06 on the portal; issue RFD-05 and any DRC-07 with the order, and any RFD-07 (withholding only). Issue PMT-03 only after the applicant’s undertaking not to appeal, or after the appeal is finally rejected (rule 93).</w:t>
      </w:r>
    </w:p>
    <w:p>
      <w:pPr>
        <w:pStyle w:val="FirstParagraph"/>
        <w:spacing w:before="0" w:after="120" w:line="269" w:lineRule="auto"/>
      </w:pPr>
      <w:r>
        <w:rPr>
          <w:bCs/>
          <w:b/>
        </w:rPr>
        <w:t xml:space="preserve">Common structure of every order (so that any reader finds things in the same place)</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205"/>
        <w:gridCol w:w="8433"/>
      </w:tblGrid>
      <w:tr>
        <w:trPr>
          <w:tblHeader w:val="true"/>
          <w:tblHeader/>
        </w:trPr>
        <w:tc>
          <w:tcPr>
            <w:tcW w:type="dxa" w:w="1205"/>
            <w:shd w:val="clear" w:color="auto" w:fill="DCE6F1"/>
          </w:tcPr>
          <w:p>
            <w:pPr>
              <w:pStyle w:val="Compact"/>
              <w:spacing w:before="0" w:after="0" w:line="240" w:lineRule="auto"/>
              <w:jc w:val="left"/>
            </w:pPr>
            <w:r>
              <w:rPr>
                <w:b/>
                <w:color w:val="1F3864"/>
                <w:sz w:val="21"/>
              </w:rPr>
              <w:t xml:space="preserve">Para</w:t>
            </w:r>
          </w:p>
        </w:tc>
        <w:tc>
          <w:tcPr>
            <w:tcW w:type="dxa" w:w="8433"/>
            <w:shd w:val="clear" w:color="auto" w:fill="DCE6F1"/>
          </w:tcPr>
          <w:p>
            <w:pPr>
              <w:pStyle w:val="Compact"/>
              <w:spacing w:before="0" w:after="0" w:line="240" w:lineRule="auto"/>
              <w:jc w:val="left"/>
            </w:pPr>
            <w:r>
              <w:rPr>
                <w:b/>
                <w:color w:val="1F3864"/>
                <w:sz w:val="21"/>
              </w:rPr>
              <w:t xml:space="preserve">Content</w:t>
            </w:r>
          </w:p>
        </w:tc>
      </w:tr>
      <w:tr>
        <w:tc>
          <w:tcPr>
            <w:tcW w:type="dxa" w:w="1205"/>
          </w:tcPr>
          <w:p>
            <w:pPr>
              <w:pStyle w:val="Compact"/>
              <w:spacing w:before="0" w:after="0" w:line="240" w:lineRule="auto"/>
              <w:jc w:val="left"/>
            </w:pPr>
            <w:r>
              <w:rPr>
                <w:sz w:val="21"/>
              </w:rPr>
              <w:t xml:space="preserve">Header</w:t>
            </w:r>
          </w:p>
        </w:tc>
        <w:tc>
          <w:tcPr>
            <w:tcW w:type="dxa" w:w="8433"/>
          </w:tcPr>
          <w:p>
            <w:pPr>
              <w:pStyle w:val="Compact"/>
              <w:spacing w:before="0" w:after="0" w:line="240" w:lineRule="auto"/>
              <w:jc w:val="left"/>
            </w:pPr>
            <w:r>
              <w:rPr>
                <w:sz w:val="21"/>
              </w:rPr>
              <w:t xml:space="preserve">Office, form, RFN, and a table of every date: ARN, RFD-02, the sixty-day date, RFD-04, RFD-08, reply, hearing</w:t>
            </w:r>
          </w:p>
        </w:tc>
      </w:tr>
      <w:tr>
        <w:tc>
          <w:tcPr>
            <w:tcW w:type="dxa" w:w="1205"/>
          </w:tcPr>
          <w:p>
            <w:pPr>
              <w:pStyle w:val="Compact"/>
              <w:spacing w:before="0" w:after="0" w:line="240" w:lineRule="auto"/>
              <w:jc w:val="left"/>
            </w:pPr>
            <w:r>
              <w:rPr>
                <w:sz w:val="21"/>
              </w:rPr>
              <w:t xml:space="preserve">Note</w:t>
            </w:r>
          </w:p>
        </w:tc>
        <w:tc>
          <w:tcPr>
            <w:tcW w:type="dxa" w:w="8433"/>
          </w:tcPr>
          <w:p>
            <w:pPr>
              <w:pStyle w:val="Compact"/>
              <w:spacing w:before="0" w:after="0" w:line="240" w:lineRule="auto"/>
              <w:jc w:val="left"/>
            </w:pPr>
            <w:r>
              <w:rPr>
                <w:sz w:val="21"/>
              </w:rPr>
              <w:t xml:space="preserve">Appeal rights: APL-01 filed electronically, 3 months + 1 month, the section 107(6) pre-deposit, the appellate authority under rule 109A</w:t>
            </w:r>
          </w:p>
        </w:tc>
      </w:tr>
      <w:tr>
        <w:tc>
          <w:tcPr>
            <w:tcW w:type="dxa" w:w="1205"/>
          </w:tcPr>
          <w:p>
            <w:pPr>
              <w:pStyle w:val="Compact"/>
              <w:spacing w:before="0" w:after="0" w:line="240" w:lineRule="auto"/>
              <w:jc w:val="left"/>
            </w:pPr>
            <w:r>
              <w:rPr>
                <w:sz w:val="21"/>
              </w:rPr>
              <w:t xml:space="preserve">1</w:t>
            </w:r>
          </w:p>
        </w:tc>
        <w:tc>
          <w:tcPr>
            <w:tcW w:type="dxa" w:w="8433"/>
          </w:tcPr>
          <w:p>
            <w:pPr>
              <w:pStyle w:val="Compact"/>
              <w:spacing w:before="0" w:after="0" w:line="240" w:lineRule="auto"/>
              <w:jc w:val="left"/>
            </w:pPr>
            <w:r>
              <w:rPr>
                <w:sz w:val="21"/>
              </w:rPr>
              <w:t xml:space="preserve">Brief facts</w:t>
            </w:r>
          </w:p>
        </w:tc>
      </w:tr>
      <w:tr>
        <w:tc>
          <w:tcPr>
            <w:tcW w:type="dxa" w:w="1205"/>
          </w:tcPr>
          <w:p>
            <w:pPr>
              <w:pStyle w:val="Compact"/>
              <w:spacing w:before="0" w:after="0" w:line="240" w:lineRule="auto"/>
              <w:jc w:val="left"/>
            </w:pPr>
            <w:r>
              <w:rPr>
                <w:sz w:val="21"/>
              </w:rPr>
              <w:t xml:space="preserve">2</w:t>
            </w:r>
          </w:p>
        </w:tc>
        <w:tc>
          <w:tcPr>
            <w:tcW w:type="dxa" w:w="8433"/>
          </w:tcPr>
          <w:p>
            <w:pPr>
              <w:pStyle w:val="Compact"/>
              <w:spacing w:before="0" w:after="0" w:line="240" w:lineRule="auto"/>
              <w:jc w:val="left"/>
            </w:pPr>
            <w:r>
              <w:rPr>
                <w:sz w:val="21"/>
              </w:rPr>
              <w:t xml:space="preserve">Legal provisions for this category only</w:t>
            </w:r>
          </w:p>
        </w:tc>
      </w:tr>
      <w:tr>
        <w:tc>
          <w:tcPr>
            <w:tcW w:type="dxa" w:w="1205"/>
          </w:tcPr>
          <w:p>
            <w:pPr>
              <w:pStyle w:val="Compact"/>
              <w:spacing w:before="0" w:after="0" w:line="240" w:lineRule="auto"/>
              <w:jc w:val="left"/>
            </w:pPr>
            <w:r>
              <w:rPr>
                <w:sz w:val="21"/>
              </w:rPr>
              <w:t xml:space="preserve">3</w:t>
            </w:r>
          </w:p>
        </w:tc>
        <w:tc>
          <w:tcPr>
            <w:tcW w:type="dxa" w:w="8433"/>
          </w:tcPr>
          <w:p>
            <w:pPr>
              <w:pStyle w:val="Compact"/>
              <w:spacing w:before="0" w:after="0" w:line="240" w:lineRule="auto"/>
              <w:jc w:val="left"/>
            </w:pPr>
            <w:r>
              <w:rPr>
                <w:sz w:val="21"/>
              </w:rPr>
              <w:t xml:space="preserve">Limitation: the clause of Explanation 2 named, the date tested, checked per shipping bill / remittance / month</w:t>
            </w:r>
          </w:p>
        </w:tc>
      </w:tr>
      <w:tr>
        <w:tc>
          <w:tcPr>
            <w:tcW w:type="dxa" w:w="1205"/>
          </w:tcPr>
          <w:p>
            <w:pPr>
              <w:pStyle w:val="Compact"/>
              <w:spacing w:before="0" w:after="0" w:line="240" w:lineRule="auto"/>
              <w:jc w:val="left"/>
            </w:pPr>
            <w:r>
              <w:rPr>
                <w:sz w:val="21"/>
              </w:rPr>
              <w:t xml:space="preserve">4</w:t>
            </w:r>
          </w:p>
        </w:tc>
        <w:tc>
          <w:tcPr>
            <w:tcW w:type="dxa" w:w="8433"/>
          </w:tcPr>
          <w:p>
            <w:pPr>
              <w:pStyle w:val="Compact"/>
              <w:spacing w:before="0" w:after="0" w:line="240" w:lineRule="auto"/>
              <w:jc w:val="left"/>
            </w:pPr>
            <w:r>
              <w:rPr>
                <w:sz w:val="21"/>
              </w:rPr>
              <w:t xml:space="preserve">Completeness, returns, debit entry, duplicate check, Aadhaar</w:t>
            </w:r>
          </w:p>
        </w:tc>
      </w:tr>
      <w:tr>
        <w:tc>
          <w:tcPr>
            <w:tcW w:type="dxa" w:w="1205"/>
          </w:tcPr>
          <w:p>
            <w:pPr>
              <w:pStyle w:val="Compact"/>
              <w:spacing w:before="0" w:after="0" w:line="240" w:lineRule="auto"/>
              <w:jc w:val="left"/>
            </w:pPr>
            <w:r>
              <w:rPr>
                <w:sz w:val="21"/>
              </w:rPr>
              <w:t xml:space="preserve">5</w:t>
            </w:r>
          </w:p>
        </w:tc>
        <w:tc>
          <w:tcPr>
            <w:tcW w:type="dxa" w:w="8433"/>
          </w:tcPr>
          <w:p>
            <w:pPr>
              <w:pStyle w:val="Compact"/>
              <w:spacing w:before="0" w:after="0" w:line="240" w:lineRule="auto"/>
              <w:jc w:val="left"/>
            </w:pPr>
            <w:r>
              <w:rPr>
                <w:sz w:val="21"/>
              </w:rPr>
              <w:t xml:space="preserve">Provisional refund: granted / not low-risk / not granted under the first proviso to rule 91(2) / barred</w:t>
            </w:r>
          </w:p>
        </w:tc>
      </w:tr>
      <w:tr>
        <w:tc>
          <w:tcPr>
            <w:tcW w:type="dxa" w:w="1205"/>
          </w:tcPr>
          <w:p>
            <w:pPr>
              <w:pStyle w:val="Compact"/>
              <w:spacing w:before="0" w:after="0" w:line="240" w:lineRule="auto"/>
              <w:jc w:val="left"/>
            </w:pPr>
            <w:r>
              <w:rPr>
                <w:sz w:val="21"/>
              </w:rPr>
              <w:t xml:space="preserve">6</w:t>
            </w:r>
          </w:p>
        </w:tc>
        <w:tc>
          <w:tcPr>
            <w:tcW w:type="dxa" w:w="8433"/>
          </w:tcPr>
          <w:p>
            <w:pPr>
              <w:pStyle w:val="Compact"/>
              <w:spacing w:before="0" w:after="0" w:line="240" w:lineRule="auto"/>
              <w:jc w:val="left"/>
            </w:pPr>
            <w:r>
              <w:rPr>
                <w:sz w:val="21"/>
              </w:rPr>
              <w:t xml:space="preserve">Verification specific to the category</w:t>
            </w:r>
          </w:p>
        </w:tc>
      </w:tr>
      <w:tr>
        <w:tc>
          <w:tcPr>
            <w:tcW w:type="dxa" w:w="1205"/>
          </w:tcPr>
          <w:p>
            <w:pPr>
              <w:pStyle w:val="Compact"/>
              <w:spacing w:before="0" w:after="0" w:line="240" w:lineRule="auto"/>
              <w:jc w:val="left"/>
            </w:pPr>
            <w:r>
              <w:rPr>
                <w:sz w:val="21"/>
              </w:rPr>
              <w:t xml:space="preserve">7</w:t>
            </w:r>
          </w:p>
        </w:tc>
        <w:tc>
          <w:tcPr>
            <w:tcW w:type="dxa" w:w="8433"/>
          </w:tcPr>
          <w:p>
            <w:pPr>
              <w:pStyle w:val="Compact"/>
              <w:spacing w:before="0" w:after="0" w:line="240" w:lineRule="auto"/>
              <w:jc w:val="left"/>
            </w:pPr>
            <w:r>
              <w:rPr>
                <w:sz w:val="21"/>
              </w:rPr>
              <w:t xml:space="preserve">Computation with a source table, the formula with figures, least of three, head-wise split</w:t>
            </w:r>
          </w:p>
        </w:tc>
      </w:tr>
      <w:tr>
        <w:tc>
          <w:tcPr>
            <w:tcW w:type="dxa" w:w="1205"/>
          </w:tcPr>
          <w:p>
            <w:pPr>
              <w:pStyle w:val="Compact"/>
              <w:spacing w:before="0" w:after="0" w:line="240" w:lineRule="auto"/>
              <w:jc w:val="left"/>
            </w:pPr>
            <w:r>
              <w:rPr>
                <w:sz w:val="21"/>
              </w:rPr>
              <w:t xml:space="preserve">8</w:t>
            </w:r>
          </w:p>
        </w:tc>
        <w:tc>
          <w:tcPr>
            <w:tcW w:type="dxa" w:w="8433"/>
          </w:tcPr>
          <w:p>
            <w:pPr>
              <w:pStyle w:val="Compact"/>
              <w:spacing w:before="0" w:after="0" w:line="240" w:lineRule="auto"/>
              <w:jc w:val="left"/>
            </w:pPr>
            <w:r>
              <w:rPr>
                <w:sz w:val="21"/>
              </w:rPr>
              <w:t xml:space="preserve">Notice, reply and hearing: every ground and every submission decided in a table</w:t>
            </w:r>
          </w:p>
        </w:tc>
      </w:tr>
      <w:tr>
        <w:tc>
          <w:tcPr>
            <w:tcW w:type="dxa" w:w="1205"/>
          </w:tcPr>
          <w:p>
            <w:pPr>
              <w:pStyle w:val="Compact"/>
              <w:spacing w:before="0" w:after="0" w:line="240" w:lineRule="auto"/>
              <w:jc w:val="left"/>
            </w:pPr>
            <w:r>
              <w:rPr>
                <w:sz w:val="21"/>
              </w:rPr>
              <w:t xml:space="preserve">9</w:t>
            </w:r>
          </w:p>
        </w:tc>
        <w:tc>
          <w:tcPr>
            <w:tcW w:type="dxa" w:w="8433"/>
          </w:tcPr>
          <w:p>
            <w:pPr>
              <w:pStyle w:val="Compact"/>
              <w:spacing w:before="0" w:after="0" w:line="240" w:lineRule="auto"/>
              <w:jc w:val="left"/>
            </w:pPr>
            <w:r>
              <w:rPr>
                <w:sz w:val="21"/>
              </w:rPr>
              <w:t xml:space="preserve">Unjust enrichment, section 54(10)/(11) dues, ₹1,000 minimum, bank account, sixty days and interest</w:t>
            </w:r>
          </w:p>
        </w:tc>
      </w:tr>
      <w:tr>
        <w:tc>
          <w:tcPr>
            <w:tcW w:type="dxa" w:w="1205"/>
          </w:tcPr>
          <w:p>
            <w:pPr>
              <w:pStyle w:val="Compact"/>
              <w:spacing w:before="0" w:after="0" w:line="240" w:lineRule="auto"/>
              <w:jc w:val="left"/>
            </w:pPr>
            <w:r>
              <w:rPr>
                <w:sz w:val="21"/>
              </w:rPr>
              <w:t xml:space="preserve">10</w:t>
            </w:r>
          </w:p>
        </w:tc>
        <w:tc>
          <w:tcPr>
            <w:tcW w:type="dxa" w:w="8433"/>
          </w:tcPr>
          <w:p>
            <w:pPr>
              <w:pStyle w:val="Compact"/>
              <w:spacing w:before="0" w:after="0" w:line="240" w:lineRule="auto"/>
              <w:jc w:val="left"/>
            </w:pPr>
            <w:r>
              <w:rPr>
                <w:sz w:val="21"/>
              </w:rPr>
              <w:t xml:space="preserve">Conclusion</w:t>
            </w:r>
          </w:p>
        </w:tc>
      </w:tr>
      <w:tr>
        <w:tc>
          <w:tcPr>
            <w:tcW w:type="dxa" w:w="1205"/>
          </w:tcPr>
          <w:p>
            <w:pPr>
              <w:pStyle w:val="Compact"/>
              <w:spacing w:before="0" w:after="0" w:line="240" w:lineRule="auto"/>
              <w:jc w:val="left"/>
            </w:pPr>
            <w:r>
              <w:rPr>
                <w:sz w:val="21"/>
              </w:rPr>
              <w:t xml:space="preserve">11</w:t>
            </w:r>
          </w:p>
        </w:tc>
        <w:tc>
          <w:tcPr>
            <w:tcW w:type="dxa" w:w="8433"/>
          </w:tcPr>
          <w:p>
            <w:pPr>
              <w:pStyle w:val="Compact"/>
              <w:spacing w:before="0" w:after="0" w:line="240" w:lineRule="auto"/>
              <w:jc w:val="left"/>
            </w:pPr>
            <w:r>
              <w:rPr>
                <w:sz w:val="21"/>
              </w:rPr>
              <w:t xml:space="preserve">ORDER: sanction, provisional adjusted, section 54(10)(b) adjustment shown in the order (RFD-07 only for withholding), RFD-05, rejection under rule 92(3), PMT-03 re-credit, any DRC-07, interest</w:t>
            </w:r>
          </w:p>
        </w:tc>
      </w:tr>
    </w:tbl>
    <w:p>
      <w:pPr>
        <w:pStyle w:val="BodyText"/>
        <w:spacing w:before="0" w:after="120" w:line="269" w:lineRule="auto"/>
      </w:pPr>
      <w:r>
        <w:rPr>
          <w:bCs/>
          <w:b/>
        </w:rPr>
        <w:t xml:space="preserve">Where the features come from</w:t>
      </w:r>
    </w:p>
    <w:p>
      <w:pPr>
        <w:numPr>
          <w:ilvl w:val="0"/>
          <w:numId w:val="1002"/>
        </w:numPr>
        <w:pStyle w:val="Compact"/>
        <w:spacing w:before="0" w:after="120" w:line="269" w:lineRule="auto"/>
      </w:pPr>
      <w:r>
        <w:t xml:space="preserve">From the best orders reviewed in 2026 (other zones and the officer’s own): the comparison of figures from different sources (RFD-01 against returns against ICEGATE) in one table; a separate decision on a refund rejection and a demand of ineligible ITC in the same order; the rate-wise inversion analysis; the point-by-point record of the reply.</w:t>
      </w:r>
    </w:p>
    <w:p>
      <w:pPr>
        <w:numPr>
          <w:ilvl w:val="0"/>
          <w:numId w:val="1002"/>
        </w:numPr>
        <w:pStyle w:val="Compact"/>
        <w:spacing w:before="0" w:after="120" w:line="269" w:lineRule="auto"/>
      </w:pPr>
      <w:r>
        <w:t xml:space="preserve">From the mistakes found in those orders: the corrected appeal paragraph; the relevant-date clause by name; the provisional-refund paragraph; no</w:t>
      </w:r>
      <w:r>
        <w:t xml:space="preserve"> </w:t>
      </w:r>
      <w:r>
        <w:t xml:space="preserve">“</w:t>
      </w:r>
      <w:r>
        <w:t xml:space="preserve">lowest / highest</w:t>
      </w:r>
      <w:r>
        <w:t xml:space="preserve">”</w:t>
      </w:r>
      <w:r>
        <w:t xml:space="preserve"> </w:t>
      </w:r>
      <w:r>
        <w:t xml:space="preserve">turnover rule; no documents beyond rule 89(2); dues adjusted in the order under section 54(10)(b) or withheld by RFD-07, never by rejection; PMT-03 re-credit directed in the ORDER; section 115 interest computed in pre-deposit refunds; rounding under section 170.</w:t>
      </w:r>
    </w:p>
    <w:p>
      <w:pPr>
        <w:numPr>
          <w:ilvl w:val="0"/>
          <w:numId w:val="1002"/>
        </w:numPr>
        <w:pStyle w:val="Compact"/>
        <w:spacing w:before="0" w:after="120" w:line="269" w:lineRule="auto"/>
      </w:pPr>
      <w:r>
        <w:t xml:space="preserve">From the law as it stands on 12.10.2026: rule 91(2) risk-based provisional refund (Notification 13/2025-CT) and Instruction 06/2025-GST, including its para 5.1 for inverted duty; Notification 14/2025-CT exclusions; Circular 197/09/2023 on GSTR-2B and the section 42 undertaking; Circular 249/06/2025 on RFN and DIN; omission of the intermediary rule in IGST section 13(8)(b) by the Finance Act, 2026 (the law text records only the date of the Act, 30.03.2026; the templates leave the commencement date to be confirmed); the pending Finance Act, 2026 amendments to sections 54(6) and 54(14) (not yet in force).</w:t>
      </w:r>
    </w:p>
    <w:p>
      <w:pPr>
        <w:pStyle w:val="FirstParagraph"/>
        <w:spacing w:before="0" w:after="120" w:line="269" w:lineRule="auto"/>
      </w:pPr>
      <w:r>
        <w:rPr>
          <w:bCs/>
          <w:b/>
        </w:rPr>
        <w:t xml:space="preserve">Points to re-check before using a template after a change in law</w:t>
      </w:r>
    </w:p>
    <w:p>
      <w:pPr>
        <w:numPr>
          <w:ilvl w:val="0"/>
          <w:numId w:val="1003"/>
        </w:numPr>
        <w:pStyle w:val="Compact"/>
        <w:spacing w:before="0" w:after="120" w:line="269" w:lineRule="auto"/>
      </w:pPr>
      <w:r>
        <w:t xml:space="preserve">Whether section 155 of the Finance Act, 2026 (provisional refund for inverted duty in section 54(6); ₹1,000 limit lifted for goods exported with tax) has been notified.</w:t>
      </w:r>
    </w:p>
    <w:p>
      <w:pPr>
        <w:numPr>
          <w:ilvl w:val="0"/>
          <w:numId w:val="1003"/>
        </w:numPr>
        <w:pStyle w:val="Compact"/>
        <w:spacing w:before="0" w:after="120" w:line="269" w:lineRule="auto"/>
      </w:pPr>
      <w:r>
        <w:t xml:space="preserve">Whether section 54(15) (export duty) has been brought into force in place of the second proviso to section 54(3).</w:t>
      </w:r>
    </w:p>
    <w:p>
      <w:pPr>
        <w:numPr>
          <w:ilvl w:val="0"/>
          <w:numId w:val="1003"/>
        </w:numPr>
        <w:pStyle w:val="Compact"/>
        <w:spacing w:before="0" w:after="120" w:line="269" w:lineRule="auto"/>
      </w:pPr>
      <w:r>
        <w:t xml:space="preserve">Whether section 157 of the Finance Act, 2026 (omission of section 13(8)(b) of the IGST Act, intermediary services) has been brought into force, and from what date (T3 and T5 para 2.2).</w:t>
      </w:r>
    </w:p>
    <w:p>
      <w:pPr>
        <w:numPr>
          <w:ilvl w:val="0"/>
          <w:numId w:val="1003"/>
        </w:numPr>
        <w:pStyle w:val="Compact"/>
        <w:spacing w:before="0" w:after="120" w:line="269" w:lineRule="auto"/>
      </w:pPr>
      <w:r>
        <w:t xml:space="preserve">The 57th GST Council meeting (8 October 2026) recommended changes that are</w:t>
      </w:r>
      <w:r>
        <w:t xml:space="preserve"> </w:t>
      </w:r>
      <w:r>
        <w:rPr>
          <w:bCs/>
          <w:b/>
        </w:rPr>
        <w:t xml:space="preserve">not yet notified</w:t>
      </w:r>
      <w:r>
        <w:t xml:space="preserve">. When notified, update:</w:t>
      </w:r>
    </w:p>
    <w:p>
      <w:pPr>
        <w:numPr>
          <w:ilvl w:val="1"/>
          <w:numId w:val="1004"/>
        </w:numPr>
        <w:pStyle w:val="Compact"/>
        <w:spacing w:before="0" w:after="120" w:line="269" w:lineRule="auto"/>
      </w:pPr>
      <w:r>
        <w:t xml:space="preserve">input-service credit in inverted-duty refunds, for credit availed on or after 1 November 2026 (T1 paras 2.2 to 2.3 and 7.1);</w:t>
      </w:r>
    </w:p>
    <w:p>
      <w:pPr>
        <w:numPr>
          <w:ilvl w:val="1"/>
          <w:numId w:val="1004"/>
        </w:numPr>
        <w:pStyle w:val="Compact"/>
        <w:spacing w:before="0" w:after="120" w:line="269" w:lineRule="auto"/>
      </w:pPr>
      <w:r>
        <w:t xml:space="preserve">capital-goods credit refundable over 60 months for zero-rated and inverted-duty supplies, for credit availed on or after 1 April 2027 (T1 to T4 paras 2 and 7);</w:t>
      </w:r>
    </w:p>
    <w:p>
      <w:pPr>
        <w:numPr>
          <w:ilvl w:val="1"/>
          <w:numId w:val="1004"/>
        </w:numPr>
        <w:pStyle w:val="Compact"/>
        <w:spacing w:before="0" w:after="120" w:line="269" w:lineRule="auto"/>
      </w:pPr>
      <w:r>
        <w:t xml:space="preserve">removal of the 1.5-times cap in rule 89(4)(C) (T2 para 6.4, T4);</w:t>
      </w:r>
    </w:p>
    <w:p>
      <w:pPr>
        <w:numPr>
          <w:ilvl w:val="1"/>
          <w:numId w:val="1004"/>
        </w:numPr>
        <w:pStyle w:val="Compact"/>
        <w:spacing w:before="0" w:after="120" w:line="269" w:lineRule="auto"/>
      </w:pPr>
      <w:r>
        <w:t xml:space="preserve">section 54(14) minimum applied to the combined refund, not per head (para 9.3 in all templates, C1 G9);</w:t>
      </w:r>
    </w:p>
    <w:p>
      <w:pPr>
        <w:numPr>
          <w:ilvl w:val="1"/>
          <w:numId w:val="1004"/>
        </w:numPr>
        <w:pStyle w:val="Compact"/>
        <w:spacing w:before="0" w:after="120" w:line="269" w:lineRule="auto"/>
      </w:pPr>
      <w:r>
        <w:t xml:space="preserve">section 115 recast as a standalone interest provision (T8 paras 2.3 and 9.6);</w:t>
      </w:r>
    </w:p>
    <w:p>
      <w:pPr>
        <w:numPr>
          <w:ilvl w:val="1"/>
          <w:numId w:val="1004"/>
        </w:numPr>
        <w:pStyle w:val="Compact"/>
        <w:spacing w:before="0" w:after="120" w:line="269" w:lineRule="auto"/>
      </w:pPr>
      <w:r>
        <w:t xml:space="preserve">omission of section 2(6)(v) and section 13(3)(a) of the IGST Act (T3, T5 Table A);</w:t>
      </w:r>
    </w:p>
    <w:p>
      <w:pPr>
        <w:numPr>
          <w:ilvl w:val="1"/>
          <w:numId w:val="1004"/>
        </w:numPr>
        <w:pStyle w:val="Compact"/>
        <w:spacing w:before="0" w:after="120" w:line="269" w:lineRule="auto"/>
      </w:pPr>
      <w:r>
        <w:t xml:space="preserve">auto-sanction of cash-ledger refunds and 10-day acknowledgement (T7; header row).</w:t>
      </w:r>
    </w:p>
    <w:p>
      <w:pPr>
        <w:numPr>
          <w:ilvl w:val="0"/>
          <w:numId w:val="1003"/>
        </w:numPr>
        <w:pStyle w:val="Compact"/>
        <w:spacing w:before="0" w:after="120" w:line="269" w:lineRule="auto"/>
      </w:pPr>
      <w:r>
        <w:t xml:space="preserve">Any new instruction on provisional refund or a new refund circular.</w:t>
      </w:r>
    </w:p>
    <w:p>
      <w:pPr>
        <w:pStyle w:val="FirstParagraph"/>
        <w:spacing w:before="0" w:after="120" w:line="269" w:lineRule="auto"/>
      </w:pPr>
      <w:r>
        <w:rPr>
          <w:bCs/>
          <w:b/>
        </w:rPr>
        <w:t xml:space="preserve">Adjudication templates (added 14 October 2026)</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510"/>
        <w:gridCol w:w="8128"/>
      </w:tblGrid>
      <w:tr>
        <w:trPr>
          <w:tblHeader w:val="true"/>
          <w:tblHeader/>
        </w:trPr>
        <w:tc>
          <w:tcPr>
            <w:tcW w:type="dxa" w:w="1510"/>
            <w:shd w:val="clear" w:color="auto" w:fill="DCE6F1"/>
          </w:tcPr>
          <w:p>
            <w:pPr>
              <w:pStyle w:val="Compact"/>
              <w:spacing w:before="0" w:after="0" w:line="240" w:lineRule="auto"/>
              <w:jc w:val="left"/>
            </w:pPr>
            <w:r>
              <w:rPr>
                <w:b/>
                <w:color w:val="1F3864"/>
                <w:sz w:val="21"/>
              </w:rPr>
              <w:t xml:space="preserve">Template</w:t>
            </w:r>
          </w:p>
        </w:tc>
        <w:tc>
          <w:tcPr>
            <w:tcW w:type="dxa" w:w="8128"/>
            <w:shd w:val="clear" w:color="auto" w:fill="DCE6F1"/>
          </w:tcPr>
          <w:p>
            <w:pPr>
              <w:pStyle w:val="Compact"/>
              <w:spacing w:before="0" w:after="0" w:line="240" w:lineRule="auto"/>
              <w:jc w:val="left"/>
            </w:pPr>
            <w:r>
              <w:rPr>
                <w:b/>
                <w:color w:val="1F3864"/>
                <w:sz w:val="21"/>
              </w:rPr>
              <w:t xml:space="preserve">Use it for</w:t>
            </w:r>
          </w:p>
        </w:tc>
      </w:tr>
      <w:tr>
        <w:tc>
          <w:tcPr>
            <w:tcW w:type="dxa" w:w="1510"/>
          </w:tcPr>
          <w:p>
            <w:pPr>
              <w:pStyle w:val="Compact"/>
              <w:spacing w:before="0" w:after="0" w:line="240" w:lineRule="auto"/>
              <w:jc w:val="left"/>
            </w:pPr>
            <w:r>
              <w:rPr>
                <w:sz w:val="21"/>
              </w:rPr>
              <w:t xml:space="preserve">A1</w:t>
            </w:r>
          </w:p>
        </w:tc>
        <w:tc>
          <w:tcPr>
            <w:tcW w:type="dxa" w:w="8128"/>
          </w:tcPr>
          <w:p>
            <w:pPr>
              <w:pStyle w:val="Compact"/>
              <w:spacing w:before="0" w:after="0" w:line="240" w:lineRule="auto"/>
              <w:jc w:val="left"/>
            </w:pPr>
            <w:r>
              <w:rPr>
                <w:sz w:val="21"/>
              </w:rPr>
              <w:t xml:space="preserve">Detailed show cause notice with DRC-01, one financial year, s.73 / 74 / 74A variants; starts with a one-page guide to the A and B series</w:t>
            </w:r>
          </w:p>
        </w:tc>
      </w:tr>
      <w:tr>
        <w:tc>
          <w:tcPr>
            <w:tcW w:type="dxa" w:w="1510"/>
          </w:tcPr>
          <w:p>
            <w:pPr>
              <w:pStyle w:val="Compact"/>
              <w:spacing w:before="0" w:after="0" w:line="240" w:lineRule="auto"/>
              <w:jc w:val="left"/>
            </w:pPr>
            <w:r>
              <w:rPr>
                <w:sz w:val="21"/>
              </w:rPr>
              <w:t xml:space="preserve">A2</w:t>
            </w:r>
          </w:p>
        </w:tc>
        <w:tc>
          <w:tcPr>
            <w:tcW w:type="dxa" w:w="8128"/>
          </w:tcPr>
          <w:p>
            <w:pPr>
              <w:pStyle w:val="Compact"/>
              <w:spacing w:before="0" w:after="0" w:line="240" w:lineRule="auto"/>
              <w:jc w:val="left"/>
            </w:pPr>
            <w:r>
              <w:rPr>
                <w:sz w:val="21"/>
              </w:rPr>
              <w:t xml:space="preserve">Issue modules for the SCN: ITC above GSTR-2B, supplier not paying (s.16(2)(c)), s.16(4), GSTR-1 v. 3B short payment, RCM, fake invoices, unregistered person, rate or classification, s.17(5), late fee and interest</w:t>
            </w:r>
          </w:p>
        </w:tc>
      </w:tr>
      <w:tr>
        <w:tc>
          <w:tcPr>
            <w:tcW w:type="dxa" w:w="1510"/>
          </w:tcPr>
          <w:p>
            <w:pPr>
              <w:pStyle w:val="Compact"/>
              <w:spacing w:before="0" w:after="0" w:line="240" w:lineRule="auto"/>
              <w:jc w:val="left"/>
            </w:pPr>
            <w:r>
              <w:rPr>
                <w:sz w:val="21"/>
              </w:rPr>
              <w:t xml:space="preserve">A3</w:t>
            </w:r>
          </w:p>
        </w:tc>
        <w:tc>
          <w:tcPr>
            <w:tcW w:type="dxa" w:w="8128"/>
          </w:tcPr>
          <w:p>
            <w:pPr>
              <w:pStyle w:val="Compact"/>
              <w:spacing w:before="0" w:after="0" w:line="240" w:lineRule="auto"/>
              <w:jc w:val="left"/>
            </w:pPr>
            <w:r>
              <w:rPr>
                <w:sz w:val="21"/>
              </w:rPr>
              <w:t xml:space="preserve">DRC-01A intimation before the SCN (rule 142(1A))</w:t>
            </w:r>
          </w:p>
        </w:tc>
      </w:tr>
      <w:tr>
        <w:tc>
          <w:tcPr>
            <w:tcW w:type="dxa" w:w="1510"/>
          </w:tcPr>
          <w:p>
            <w:pPr>
              <w:pStyle w:val="Compact"/>
              <w:spacing w:before="0" w:after="0" w:line="240" w:lineRule="auto"/>
              <w:jc w:val="left"/>
            </w:pPr>
            <w:r>
              <w:rPr>
                <w:sz w:val="21"/>
              </w:rPr>
              <w:t xml:space="preserve">A4</w:t>
            </w:r>
          </w:p>
        </w:tc>
        <w:tc>
          <w:tcPr>
            <w:tcW w:type="dxa" w:w="8128"/>
          </w:tcPr>
          <w:p>
            <w:pPr>
              <w:pStyle w:val="Compact"/>
              <w:spacing w:before="0" w:after="0" w:line="240" w:lineRule="auto"/>
              <w:jc w:val="left"/>
            </w:pPr>
            <w:r>
              <w:rPr>
                <w:sz w:val="21"/>
              </w:rPr>
              <w:t xml:space="preserve">Personal hearing notice, adjournment and final-opportunity notices, record of personal hearing</w:t>
            </w:r>
          </w:p>
        </w:tc>
      </w:tr>
      <w:tr>
        <w:tc>
          <w:tcPr>
            <w:tcW w:type="dxa" w:w="1510"/>
          </w:tcPr>
          <w:p>
            <w:pPr>
              <w:pStyle w:val="Compact"/>
              <w:spacing w:before="0" w:after="0" w:line="240" w:lineRule="auto"/>
              <w:jc w:val="left"/>
            </w:pPr>
            <w:r>
              <w:rPr>
                <w:sz w:val="21"/>
              </w:rPr>
              <w:t xml:space="preserve">A5</w:t>
            </w:r>
          </w:p>
        </w:tc>
        <w:tc>
          <w:tcPr>
            <w:tcW w:type="dxa" w:w="8128"/>
          </w:tcPr>
          <w:p>
            <w:pPr>
              <w:pStyle w:val="Compact"/>
              <w:spacing w:before="0" w:after="0" w:line="240" w:lineRule="auto"/>
              <w:jc w:val="left"/>
            </w:pPr>
            <w:r>
              <w:rPr>
                <w:sz w:val="21"/>
              </w:rPr>
              <w:t xml:space="preserve">Corrigendum or addendum to an SCN</w:t>
            </w:r>
          </w:p>
        </w:tc>
      </w:tr>
      <w:tr>
        <w:tc>
          <w:tcPr>
            <w:tcW w:type="dxa" w:w="1510"/>
          </w:tcPr>
          <w:p>
            <w:pPr>
              <w:pStyle w:val="Compact"/>
              <w:spacing w:before="0" w:after="0" w:line="240" w:lineRule="auto"/>
              <w:jc w:val="left"/>
            </w:pPr>
            <w:r>
              <w:rPr>
                <w:sz w:val="21"/>
              </w:rPr>
              <w:t xml:space="preserve">B1</w:t>
            </w:r>
          </w:p>
        </w:tc>
        <w:tc>
          <w:tcPr>
            <w:tcW w:type="dxa" w:w="8128"/>
          </w:tcPr>
          <w:p>
            <w:pPr>
              <w:pStyle w:val="Compact"/>
              <w:spacing w:before="0" w:after="0" w:line="240" w:lineRule="auto"/>
              <w:jc w:val="left"/>
            </w:pPr>
            <w:r>
              <w:rPr>
                <w:sz w:val="21"/>
              </w:rPr>
              <w:t xml:space="preserve">Order-in-Original with DRC-07 (s.73 / 74 / 74A)</w:t>
            </w:r>
          </w:p>
        </w:tc>
      </w:tr>
      <w:tr>
        <w:tc>
          <w:tcPr>
            <w:tcW w:type="dxa" w:w="1510"/>
          </w:tcPr>
          <w:p>
            <w:pPr>
              <w:pStyle w:val="Compact"/>
              <w:spacing w:before="0" w:after="0" w:line="240" w:lineRule="auto"/>
              <w:jc w:val="left"/>
            </w:pPr>
            <w:r>
              <w:rPr>
                <w:sz w:val="21"/>
              </w:rPr>
              <w:t xml:space="preserve">B2</w:t>
            </w:r>
          </w:p>
        </w:tc>
        <w:tc>
          <w:tcPr>
            <w:tcW w:type="dxa" w:w="8128"/>
          </w:tcPr>
          <w:p>
            <w:pPr>
              <w:pStyle w:val="Compact"/>
              <w:spacing w:before="0" w:after="0" w:line="240" w:lineRule="auto"/>
              <w:jc w:val="left"/>
            </w:pPr>
            <w:r>
              <w:rPr>
                <w:sz w:val="21"/>
              </w:rPr>
              <w:t xml:space="preserve">Finding modules for the same ten issues: defences and how to answer or concede them</w:t>
            </w:r>
          </w:p>
        </w:tc>
      </w:tr>
      <w:tr>
        <w:tc>
          <w:tcPr>
            <w:tcW w:type="dxa" w:w="1510"/>
          </w:tcPr>
          <w:p>
            <w:pPr>
              <w:pStyle w:val="Compact"/>
              <w:spacing w:before="0" w:after="0" w:line="240" w:lineRule="auto"/>
              <w:jc w:val="left"/>
            </w:pPr>
            <w:r>
              <w:rPr>
                <w:sz w:val="21"/>
              </w:rPr>
              <w:t xml:space="preserve">B3</w:t>
            </w:r>
          </w:p>
        </w:tc>
        <w:tc>
          <w:tcPr>
            <w:tcW w:type="dxa" w:w="8128"/>
          </w:tcPr>
          <w:p>
            <w:pPr>
              <w:pStyle w:val="Compact"/>
              <w:spacing w:before="0" w:after="0" w:line="240" w:lineRule="auto"/>
              <w:jc w:val="left"/>
            </w:pPr>
            <w:r>
              <w:rPr>
                <w:sz w:val="21"/>
              </w:rPr>
              <w:t xml:space="preserve">Ex parte order after three opportunities</w:t>
            </w:r>
          </w:p>
        </w:tc>
      </w:tr>
      <w:tr>
        <w:tc>
          <w:tcPr>
            <w:tcW w:type="dxa" w:w="1510"/>
          </w:tcPr>
          <w:p>
            <w:pPr>
              <w:pStyle w:val="Compact"/>
              <w:spacing w:before="0" w:after="0" w:line="240" w:lineRule="auto"/>
              <w:jc w:val="left"/>
            </w:pPr>
            <w:r>
              <w:rPr>
                <w:sz w:val="21"/>
              </w:rPr>
              <w:t xml:space="preserve">B4</w:t>
            </w:r>
          </w:p>
        </w:tc>
        <w:tc>
          <w:tcPr>
            <w:tcW w:type="dxa" w:w="8128"/>
          </w:tcPr>
          <w:p>
            <w:pPr>
              <w:pStyle w:val="Compact"/>
              <w:spacing w:before="0" w:after="0" w:line="240" w:lineRule="auto"/>
              <w:jc w:val="left"/>
            </w:pPr>
            <w:r>
              <w:rPr>
                <w:sz w:val="21"/>
              </w:rPr>
              <w:t xml:space="preserve">Rectification under s.161 (DRC-08)</w:t>
            </w:r>
          </w:p>
        </w:tc>
      </w:tr>
      <w:tr>
        <w:tc>
          <w:tcPr>
            <w:tcW w:type="dxa" w:w="1510"/>
          </w:tcPr>
          <w:p>
            <w:pPr>
              <w:pStyle w:val="Compact"/>
              <w:spacing w:before="0" w:after="0" w:line="240" w:lineRule="auto"/>
              <w:jc w:val="left"/>
            </w:pPr>
            <w:r>
              <w:rPr>
                <w:sz w:val="21"/>
              </w:rPr>
              <w:t xml:space="preserve">B5</w:t>
            </w:r>
          </w:p>
        </w:tc>
        <w:tc>
          <w:tcPr>
            <w:tcW w:type="dxa" w:w="8128"/>
          </w:tcPr>
          <w:p>
            <w:pPr>
              <w:pStyle w:val="Compact"/>
              <w:spacing w:before="0" w:after="0" w:line="240" w:lineRule="auto"/>
              <w:jc w:val="left"/>
            </w:pPr>
            <w:r>
              <w:rPr>
                <w:sz w:val="21"/>
              </w:rPr>
              <w:t xml:space="preserve">Re-determination under s.75(2) when fraud is not proved</w:t>
            </w:r>
          </w:p>
        </w:tc>
      </w:tr>
      <w:tr>
        <w:tc>
          <w:tcPr>
            <w:tcW w:type="dxa" w:w="1510"/>
          </w:tcPr>
          <w:p>
            <w:pPr>
              <w:pStyle w:val="Compact"/>
              <w:spacing w:before="0" w:after="0" w:line="240" w:lineRule="auto"/>
              <w:jc w:val="left"/>
            </w:pPr>
            <w:r>
              <w:rPr>
                <w:sz w:val="21"/>
              </w:rPr>
              <w:t xml:space="preserve">C2</w:t>
            </w:r>
          </w:p>
        </w:tc>
        <w:tc>
          <w:tcPr>
            <w:tcW w:type="dxa" w:w="8128"/>
          </w:tcPr>
          <w:p>
            <w:pPr>
              <w:pStyle w:val="Compact"/>
              <w:spacing w:before="0" w:after="0" w:line="240" w:lineRule="auto"/>
              <w:jc w:val="left"/>
            </w:pPr>
            <w:r>
              <w:rPr>
                <w:sz w:val="21"/>
              </w:rPr>
              <w:t xml:space="preserve">Adjudication checklist (SCN, hearing, order, after the order)</w:t>
            </w:r>
          </w:p>
        </w:tc>
      </w:tr>
    </w:tbl>
    <w:p>
      <w:pPr>
        <w:pStyle w:val="BodyText"/>
        <w:spacing w:before="0" w:after="120" w:line="269" w:lineRule="auto"/>
        <w:jc w:val="both"/>
      </w:pPr>
      <w:r>
        <w:t xml:space="preserve">They are built from</w:t>
      </w:r>
      <w:r>
        <w:t xml:space="preserve"> </w:t>
      </w:r>
      <w:r>
        <w:rPr>
          <w:rStyle w:val="VerbatimChar"/>
        </w:rPr>
        <w:t xml:space="preserve">/mnt/project-files/gst-law/adjudication/</w:t>
      </w:r>
      <w:r>
        <w:t xml:space="preserve"> </w:t>
      </w:r>
      <w:r>
        <w:t xml:space="preserve">(procedure, appeals, court-proof checklist) and the review of eleven division SCNs (</w:t>
      </w:r>
      <w:r>
        <w:rPr>
          <w:rStyle w:val="VerbatimChar"/>
        </w:rPr>
        <w:t xml:space="preserve">/mnt/project-files/gst-orders/adjudication/scn-evaluation.md</w:t>
      </w:r>
      <w:r>
        <w:t xml:space="preserve">). Check the s.50(3) interest rate and the monetary limits against the current notifications and circulars before use.</w:t>
      </w:r>
    </w:p>
    <w:p>
      <w:pPr>
        <w:pStyle w:val="BodyText"/>
        <w:spacing w:before="0" w:after="120" w:line="269" w:lineRule="auto"/>
      </w:pPr>
      <w:r>
        <w:rPr>
          <w:bCs/>
          <w:b/>
        </w:rPr>
        <w:t xml:space="preserve">Registration templates (added 14 October 2026)</w:t>
      </w:r>
    </w:p>
    <w:p>
      <w:pPr>
        <w:pStyle w:val="BodyText"/>
        <w:spacing w:before="0" w:after="120" w:line="269" w:lineRule="auto"/>
        <w:jc w:val="both"/>
      </w:pPr>
      <w:r>
        <w:t xml:space="preserve">These are issued by the</w:t>
      </w:r>
      <w:r>
        <w:t xml:space="preserve"> </w:t>
      </w:r>
      <w:r>
        <w:rPr>
          <w:bCs/>
          <w:b/>
        </w:rPr>
        <w:t xml:space="preserve">Range Superintendent</w:t>
      </w:r>
      <w:r>
        <w:t xml:space="preserve">, who is the proper officer for registration, cancellation and revocation (Circular No. 1/1/2017-GST as amended by Circular No. 223/17/2024-GST). Their letterhead therefore reads</w:t>
      </w:r>
      <w:r>
        <w:t xml:space="preserve"> </w:t>
      </w:r>
      <w:r>
        <w:t xml:space="preserve">“</w:t>
      </w:r>
      <w:r>
        <w:t xml:space="preserve">Office of the Superintendent of Central Tax, [ ] Range</w:t>
      </w:r>
      <w:r>
        <w:t xml:space="preserve">”</w:t>
      </w:r>
      <w:r>
        <w:t xml:space="preserve">; fill in the Range. Their appeal paragraph names an officer not below Joint Commissioner (Appeals) (rule 109A(1)(b)).</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131"/>
        <w:gridCol w:w="6088"/>
        <w:gridCol w:w="2419"/>
      </w:tblGrid>
      <w:tr>
        <w:trPr>
          <w:tblHeader w:val="true"/>
          <w:tblHeader/>
        </w:trPr>
        <w:tc>
          <w:tcPr>
            <w:tcW w:type="dxa" w:w="1131"/>
            <w:shd w:val="clear" w:color="auto" w:fill="DCE6F1"/>
          </w:tcPr>
          <w:p>
            <w:pPr>
              <w:pStyle w:val="Compact"/>
              <w:spacing w:before="0" w:after="0" w:line="240" w:lineRule="auto"/>
              <w:jc w:val="left"/>
            </w:pPr>
            <w:r>
              <w:rPr>
                <w:b/>
                <w:color w:val="1F3864"/>
                <w:sz w:val="21"/>
              </w:rPr>
              <w:t xml:space="preserve">Template</w:t>
            </w:r>
          </w:p>
        </w:tc>
        <w:tc>
          <w:tcPr>
            <w:tcW w:type="dxa" w:w="6088"/>
            <w:shd w:val="clear" w:color="auto" w:fill="DCE6F1"/>
          </w:tcPr>
          <w:p>
            <w:pPr>
              <w:pStyle w:val="Compact"/>
              <w:spacing w:before="0" w:after="0" w:line="240" w:lineRule="auto"/>
              <w:jc w:val="left"/>
            </w:pPr>
            <w:r>
              <w:rPr>
                <w:b/>
                <w:color w:val="1F3864"/>
                <w:sz w:val="21"/>
              </w:rPr>
              <w:t xml:space="preserve">Use it for</w:t>
            </w:r>
          </w:p>
        </w:tc>
        <w:tc>
          <w:tcPr>
            <w:tcW w:type="dxa" w:w="2419"/>
            <w:shd w:val="clear" w:color="auto" w:fill="DCE6F1"/>
          </w:tcPr>
          <w:p>
            <w:pPr>
              <w:pStyle w:val="Compact"/>
              <w:spacing w:before="0" w:after="0" w:line="240" w:lineRule="auto"/>
              <w:jc w:val="left"/>
            </w:pPr>
            <w:r>
              <w:rPr>
                <w:b/>
                <w:color w:val="1F3864"/>
                <w:sz w:val="21"/>
              </w:rPr>
              <w:t xml:space="preserve">Form and rule</w:t>
            </w:r>
          </w:p>
        </w:tc>
      </w:tr>
      <w:tr>
        <w:tc>
          <w:tcPr>
            <w:tcW w:type="dxa" w:w="1131"/>
          </w:tcPr>
          <w:p>
            <w:pPr>
              <w:pStyle w:val="Compact"/>
              <w:spacing w:before="0" w:after="0" w:line="240" w:lineRule="auto"/>
              <w:jc w:val="left"/>
            </w:pPr>
            <w:r>
              <w:rPr>
                <w:sz w:val="21"/>
              </w:rPr>
              <w:t xml:space="preserve">R1</w:t>
            </w:r>
          </w:p>
        </w:tc>
        <w:tc>
          <w:tcPr>
            <w:tcW w:type="dxa" w:w="6088"/>
          </w:tcPr>
          <w:p>
            <w:pPr>
              <w:pStyle w:val="Compact"/>
              <w:spacing w:before="0" w:after="0" w:line="240" w:lineRule="auto"/>
              <w:jc w:val="left"/>
            </w:pPr>
            <w:r>
              <w:rPr>
                <w:sz w:val="21"/>
              </w:rPr>
              <w:t xml:space="preserve">Query on a new registration, amendment, cancellation or rule 14A withdrawal application, limited to the grounds Instruction 03/2025-GST allows</w:t>
            </w:r>
          </w:p>
        </w:tc>
        <w:tc>
          <w:tcPr>
            <w:tcW w:type="dxa" w:w="2419"/>
          </w:tcPr>
          <w:p>
            <w:pPr>
              <w:pStyle w:val="Compact"/>
              <w:spacing w:before="0" w:after="0" w:line="240" w:lineRule="auto"/>
              <w:jc w:val="left"/>
            </w:pPr>
            <w:r>
              <w:rPr>
                <w:sz w:val="21"/>
              </w:rPr>
              <w:t xml:space="preserve">REG-03; rules 9(2), 19(2), 14A</w:t>
            </w:r>
          </w:p>
        </w:tc>
      </w:tr>
      <w:tr>
        <w:tc>
          <w:tcPr>
            <w:tcW w:type="dxa" w:w="1131"/>
          </w:tcPr>
          <w:p>
            <w:pPr>
              <w:pStyle w:val="Compact"/>
              <w:spacing w:before="0" w:after="0" w:line="240" w:lineRule="auto"/>
              <w:jc w:val="left"/>
            </w:pPr>
            <w:r>
              <w:rPr>
                <w:sz w:val="21"/>
              </w:rPr>
              <w:t xml:space="preserve">R2</w:t>
            </w:r>
          </w:p>
        </w:tc>
        <w:tc>
          <w:tcPr>
            <w:tcW w:type="dxa" w:w="6088"/>
          </w:tcPr>
          <w:p>
            <w:pPr>
              <w:pStyle w:val="Compact"/>
              <w:spacing w:before="0" w:after="0" w:line="240" w:lineRule="auto"/>
              <w:jc w:val="left"/>
            </w:pPr>
            <w:r>
              <w:rPr>
                <w:sz w:val="21"/>
              </w:rPr>
              <w:t xml:space="preserve">Physical verification report of the place of business</w:t>
            </w:r>
          </w:p>
        </w:tc>
        <w:tc>
          <w:tcPr>
            <w:tcW w:type="dxa" w:w="2419"/>
          </w:tcPr>
          <w:p>
            <w:pPr>
              <w:pStyle w:val="Compact"/>
              <w:spacing w:before="0" w:after="0" w:line="240" w:lineRule="auto"/>
              <w:jc w:val="left"/>
            </w:pPr>
            <w:r>
              <w:rPr>
                <w:sz w:val="21"/>
              </w:rPr>
              <w:t xml:space="preserve">Annexure to REG-30; rule 25</w:t>
            </w:r>
          </w:p>
        </w:tc>
      </w:tr>
      <w:tr>
        <w:tc>
          <w:tcPr>
            <w:tcW w:type="dxa" w:w="1131"/>
          </w:tcPr>
          <w:p>
            <w:pPr>
              <w:pStyle w:val="Compact"/>
              <w:spacing w:before="0" w:after="0" w:line="240" w:lineRule="auto"/>
              <w:jc w:val="left"/>
            </w:pPr>
            <w:r>
              <w:rPr>
                <w:sz w:val="21"/>
              </w:rPr>
              <w:t xml:space="preserve">R3</w:t>
            </w:r>
          </w:p>
        </w:tc>
        <w:tc>
          <w:tcPr>
            <w:tcW w:type="dxa" w:w="6088"/>
          </w:tcPr>
          <w:p>
            <w:pPr>
              <w:pStyle w:val="Compact"/>
              <w:spacing w:before="0" w:after="0" w:line="240" w:lineRule="auto"/>
              <w:jc w:val="left"/>
            </w:pPr>
            <w:r>
              <w:rPr>
                <w:sz w:val="21"/>
              </w:rPr>
              <w:t xml:space="preserve">Show cause notice for cancellation, with nine ground modules (non-existence, non-filing, invoices without supply, ITC in breach of s.16, GSTR-1 above 3B, bank account, rule 86B, voluntary registrant, fraud in obtaining registration), retrospective date and suspension</w:t>
            </w:r>
          </w:p>
        </w:tc>
        <w:tc>
          <w:tcPr>
            <w:tcW w:type="dxa" w:w="2419"/>
          </w:tcPr>
          <w:p>
            <w:pPr>
              <w:pStyle w:val="Compact"/>
              <w:spacing w:before="0" w:after="0" w:line="240" w:lineRule="auto"/>
              <w:jc w:val="left"/>
            </w:pPr>
            <w:r>
              <w:rPr>
                <w:sz w:val="21"/>
              </w:rPr>
              <w:t xml:space="preserve">REG-17; s.29(2); rules 21, 21A(2), 22(1)</w:t>
            </w:r>
          </w:p>
        </w:tc>
      </w:tr>
      <w:tr>
        <w:tc>
          <w:tcPr>
            <w:tcW w:type="dxa" w:w="1131"/>
          </w:tcPr>
          <w:p>
            <w:pPr>
              <w:pStyle w:val="Compact"/>
              <w:spacing w:before="0" w:after="0" w:line="240" w:lineRule="auto"/>
              <w:jc w:val="left"/>
            </w:pPr>
            <w:r>
              <w:rPr>
                <w:sz w:val="21"/>
              </w:rPr>
              <w:t xml:space="preserve">R4</w:t>
            </w:r>
          </w:p>
        </w:tc>
        <w:tc>
          <w:tcPr>
            <w:tcW w:type="dxa" w:w="6088"/>
          </w:tcPr>
          <w:p>
            <w:pPr>
              <w:pStyle w:val="Compact"/>
              <w:spacing w:before="0" w:after="0" w:line="240" w:lineRule="auto"/>
              <w:jc w:val="left"/>
            </w:pPr>
            <w:r>
              <w:rPr>
                <w:sz w:val="21"/>
              </w:rPr>
              <w:t xml:space="preserve">Cancellation order, suo motu (Option A) or on the taxpayer’s application (Option B)</w:t>
            </w:r>
          </w:p>
        </w:tc>
        <w:tc>
          <w:tcPr>
            <w:tcW w:type="dxa" w:w="2419"/>
          </w:tcPr>
          <w:p>
            <w:pPr>
              <w:pStyle w:val="Compact"/>
              <w:spacing w:before="0" w:after="0" w:line="240" w:lineRule="auto"/>
              <w:jc w:val="left"/>
            </w:pPr>
            <w:r>
              <w:rPr>
                <w:sz w:val="21"/>
              </w:rPr>
              <w:t xml:space="preserve">REG-19; rule 22(3); Circular 69/43/2018</w:t>
            </w:r>
          </w:p>
        </w:tc>
      </w:tr>
      <w:tr>
        <w:tc>
          <w:tcPr>
            <w:tcW w:type="dxa" w:w="1131"/>
          </w:tcPr>
          <w:p>
            <w:pPr>
              <w:pStyle w:val="Compact"/>
              <w:spacing w:before="0" w:after="0" w:line="240" w:lineRule="auto"/>
              <w:jc w:val="left"/>
            </w:pPr>
            <w:r>
              <w:rPr>
                <w:sz w:val="21"/>
              </w:rPr>
              <w:t xml:space="preserve">R5</w:t>
            </w:r>
          </w:p>
        </w:tc>
        <w:tc>
          <w:tcPr>
            <w:tcW w:type="dxa" w:w="6088"/>
          </w:tcPr>
          <w:p>
            <w:pPr>
              <w:pStyle w:val="Compact"/>
              <w:spacing w:before="0" w:after="0" w:line="240" w:lineRule="auto"/>
              <w:jc w:val="left"/>
            </w:pPr>
            <w:r>
              <w:rPr>
                <w:sz w:val="21"/>
              </w:rPr>
              <w:t xml:space="preserve">Dropping cancellation proceedings and revoking suspension (reply satisfactory, returns filed, bank details given, REG-31 prima facie explained)</w:t>
            </w:r>
          </w:p>
        </w:tc>
        <w:tc>
          <w:tcPr>
            <w:tcW w:type="dxa" w:w="2419"/>
          </w:tcPr>
          <w:p>
            <w:pPr>
              <w:pStyle w:val="Compact"/>
              <w:spacing w:before="0" w:after="0" w:line="240" w:lineRule="auto"/>
              <w:jc w:val="left"/>
            </w:pPr>
            <w:r>
              <w:rPr>
                <w:sz w:val="21"/>
              </w:rPr>
              <w:t xml:space="preserve">REG-20; rules 22(4), 21A(4)</w:t>
            </w:r>
          </w:p>
        </w:tc>
      </w:tr>
      <w:tr>
        <w:tc>
          <w:tcPr>
            <w:tcW w:type="dxa" w:w="1131"/>
          </w:tcPr>
          <w:p>
            <w:pPr>
              <w:pStyle w:val="Compact"/>
              <w:spacing w:before="0" w:after="0" w:line="240" w:lineRule="auto"/>
              <w:jc w:val="left"/>
            </w:pPr>
            <w:r>
              <w:rPr>
                <w:sz w:val="21"/>
              </w:rPr>
              <w:t xml:space="preserve">R6</w:t>
            </w:r>
          </w:p>
        </w:tc>
        <w:tc>
          <w:tcPr>
            <w:tcW w:type="dxa" w:w="6088"/>
          </w:tcPr>
          <w:p>
            <w:pPr>
              <w:pStyle w:val="Compact"/>
              <w:spacing w:before="0" w:after="0" w:line="240" w:lineRule="auto"/>
              <w:jc w:val="left"/>
            </w:pPr>
            <w:r>
              <w:rPr>
                <w:sz w:val="21"/>
              </w:rPr>
              <w:t xml:space="preserve">Office note: reasons to believe before suspending, and record of examining a reply to a system REG-31</w:t>
            </w:r>
          </w:p>
        </w:tc>
        <w:tc>
          <w:tcPr>
            <w:tcW w:type="dxa" w:w="2419"/>
          </w:tcPr>
          <w:p>
            <w:pPr>
              <w:pStyle w:val="Compact"/>
              <w:spacing w:before="0" w:after="0" w:line="240" w:lineRule="auto"/>
              <w:jc w:val="left"/>
            </w:pPr>
            <w:r>
              <w:rPr>
                <w:sz w:val="21"/>
              </w:rPr>
              <w:t xml:space="preserve">Rule 21A(2), (2A); Circular 145/01/2021</w:t>
            </w:r>
          </w:p>
        </w:tc>
      </w:tr>
      <w:tr>
        <w:tc>
          <w:tcPr>
            <w:tcW w:type="dxa" w:w="1131"/>
          </w:tcPr>
          <w:p>
            <w:pPr>
              <w:pStyle w:val="Compact"/>
              <w:spacing w:before="0" w:after="0" w:line="240" w:lineRule="auto"/>
              <w:jc w:val="left"/>
            </w:pPr>
            <w:r>
              <w:rPr>
                <w:sz w:val="21"/>
              </w:rPr>
              <w:t xml:space="preserve">R7</w:t>
            </w:r>
          </w:p>
        </w:tc>
        <w:tc>
          <w:tcPr>
            <w:tcW w:type="dxa" w:w="6088"/>
          </w:tcPr>
          <w:p>
            <w:pPr>
              <w:pStyle w:val="Compact"/>
              <w:spacing w:before="0" w:after="0" w:line="240" w:lineRule="auto"/>
              <w:jc w:val="left"/>
            </w:pPr>
            <w:r>
              <w:rPr>
                <w:sz w:val="21"/>
              </w:rPr>
              <w:t xml:space="preserve">Show cause notice before rejecting a revocation application</w:t>
            </w:r>
          </w:p>
        </w:tc>
        <w:tc>
          <w:tcPr>
            <w:tcW w:type="dxa" w:w="2419"/>
          </w:tcPr>
          <w:p>
            <w:pPr>
              <w:pStyle w:val="Compact"/>
              <w:spacing w:before="0" w:after="0" w:line="240" w:lineRule="auto"/>
              <w:jc w:val="left"/>
            </w:pPr>
            <w:r>
              <w:rPr>
                <w:sz w:val="21"/>
              </w:rPr>
              <w:t xml:space="preserve">REG-23; rule 23(3)</w:t>
            </w:r>
          </w:p>
        </w:tc>
      </w:tr>
      <w:tr>
        <w:tc>
          <w:tcPr>
            <w:tcW w:type="dxa" w:w="1131"/>
          </w:tcPr>
          <w:p>
            <w:pPr>
              <w:pStyle w:val="Compact"/>
              <w:spacing w:before="0" w:after="0" w:line="240" w:lineRule="auto"/>
              <w:jc w:val="left"/>
            </w:pPr>
            <w:r>
              <w:rPr>
                <w:sz w:val="21"/>
              </w:rPr>
              <w:t xml:space="preserve">R8</w:t>
            </w:r>
          </w:p>
        </w:tc>
        <w:tc>
          <w:tcPr>
            <w:tcW w:type="dxa" w:w="6088"/>
          </w:tcPr>
          <w:p>
            <w:pPr>
              <w:pStyle w:val="Compact"/>
              <w:spacing w:before="0" w:after="0" w:line="240" w:lineRule="auto"/>
              <w:jc w:val="left"/>
            </w:pPr>
            <w:r>
              <w:rPr>
                <w:sz w:val="21"/>
              </w:rPr>
              <w:t xml:space="preserve">Revocation order (Part A) or rejection of revocation (Part B)</w:t>
            </w:r>
          </w:p>
        </w:tc>
        <w:tc>
          <w:tcPr>
            <w:tcW w:type="dxa" w:w="2419"/>
          </w:tcPr>
          <w:p>
            <w:pPr>
              <w:pStyle w:val="Compact"/>
              <w:spacing w:before="0" w:after="0" w:line="240" w:lineRule="auto"/>
              <w:jc w:val="left"/>
            </w:pPr>
            <w:r>
              <w:rPr>
                <w:sz w:val="21"/>
              </w:rPr>
              <w:t xml:space="preserve">REG-22 / REG-05; rule 23(2)</w:t>
            </w:r>
          </w:p>
        </w:tc>
      </w:tr>
      <w:tr>
        <w:tc>
          <w:tcPr>
            <w:tcW w:type="dxa" w:w="1131"/>
          </w:tcPr>
          <w:p>
            <w:pPr>
              <w:pStyle w:val="Compact"/>
              <w:spacing w:before="0" w:after="0" w:line="240" w:lineRule="auto"/>
              <w:jc w:val="left"/>
            </w:pPr>
            <w:r>
              <w:rPr>
                <w:sz w:val="21"/>
              </w:rPr>
              <w:t xml:space="preserve">R9</w:t>
            </w:r>
          </w:p>
        </w:tc>
        <w:tc>
          <w:tcPr>
            <w:tcW w:type="dxa" w:w="6088"/>
          </w:tcPr>
          <w:p>
            <w:pPr>
              <w:pStyle w:val="Compact"/>
              <w:spacing w:before="0" w:after="0" w:line="240" w:lineRule="auto"/>
              <w:jc w:val="left"/>
            </w:pPr>
            <w:r>
              <w:rPr>
                <w:sz w:val="21"/>
              </w:rPr>
              <w:t xml:space="preserve">Rejection of a registration, amendment, cancellation or withdrawal application after REG-03</w:t>
            </w:r>
          </w:p>
        </w:tc>
        <w:tc>
          <w:tcPr>
            <w:tcW w:type="dxa" w:w="2419"/>
          </w:tcPr>
          <w:p>
            <w:pPr>
              <w:pStyle w:val="Compact"/>
              <w:spacing w:before="0" w:after="0" w:line="240" w:lineRule="auto"/>
              <w:jc w:val="left"/>
            </w:pPr>
            <w:r>
              <w:rPr>
                <w:sz w:val="21"/>
              </w:rPr>
              <w:t xml:space="preserve">REG-05; rules 9(4), 19(4), 14A</w:t>
            </w:r>
          </w:p>
        </w:tc>
      </w:tr>
      <w:tr>
        <w:tc>
          <w:tcPr>
            <w:tcW w:type="dxa" w:w="1131"/>
          </w:tcPr>
          <w:p>
            <w:pPr>
              <w:pStyle w:val="Compact"/>
              <w:spacing w:before="0" w:after="0" w:line="240" w:lineRule="auto"/>
              <w:jc w:val="left"/>
            </w:pPr>
            <w:r>
              <w:rPr>
                <w:sz w:val="21"/>
              </w:rPr>
              <w:t xml:space="preserve">R10</w:t>
            </w:r>
          </w:p>
        </w:tc>
        <w:tc>
          <w:tcPr>
            <w:tcW w:type="dxa" w:w="6088"/>
          </w:tcPr>
          <w:p>
            <w:pPr>
              <w:pStyle w:val="Compact"/>
              <w:spacing w:before="0" w:after="0" w:line="240" w:lineRule="auto"/>
              <w:jc w:val="left"/>
            </w:pPr>
            <w:r>
              <w:rPr>
                <w:sz w:val="21"/>
              </w:rPr>
              <w:t xml:space="preserve">Registration checklist, one page per stage</w:t>
            </w:r>
          </w:p>
        </w:tc>
        <w:tc>
          <w:tcPr>
            <w:tcW w:type="dxa" w:w="2419"/>
          </w:tcPr>
          <w:p>
            <w:pPr>
              <w:pStyle w:val="Compact"/>
              <w:spacing w:before="0" w:after="0" w:line="240" w:lineRule="auto"/>
              <w:jc w:val="left"/>
            </w:pPr>
            <w:r>
              <w:rPr>
                <w:sz w:val="21"/>
              </w:rPr>
              <w:t xml:space="preserve">All of the above</w:t>
            </w:r>
          </w:p>
        </w:tc>
      </w:tr>
    </w:tbl>
    <w:p>
      <w:pPr>
        <w:pStyle w:val="BodyText"/>
        <w:spacing w:before="0" w:after="120" w:line="269" w:lineRule="auto"/>
        <w:jc w:val="both"/>
      </w:pPr>
      <w:r>
        <w:t xml:space="preserve">They are built from</w:t>
      </w:r>
      <w:r>
        <w:t xml:space="preserve"> </w:t>
      </w:r>
      <w:r>
        <w:rPr>
          <w:rStyle w:val="VerbatimChar"/>
        </w:rPr>
        <w:t xml:space="preserve">/mnt/project-files/gst-law/registration/</w:t>
      </w:r>
      <w:r>
        <w:t xml:space="preserve"> </w:t>
      </w:r>
      <w:r>
        <w:t xml:space="preserve">(procedure guide and court-proof checklist). Re-check them when the 57th Council’s registration changes (rules 14B, 19, 21, 21A, 22, 23A) are notified.</w:t>
      </w:r>
    </w:p>
    <w:bookmarkEnd w:id="20"/>
    <w:sectPr>
      <w:headerReference w:type="default" r:id="rId9"/>
      <w:footerReference w:type="default" r:id="rId10"/>
      <w:pgSz w:w="11906" w:h="16838"/>
      <w:pgMar w:bottom="1134" w:left="1134" w:right="1134" w:top="1134"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Refund order templates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Refund order templates: read me first</dc:title>
  <dc:creator>Sangareddy CGST Division</dc:creator>
  <cp:keywords/>
  <dcterms:created xsi:type="dcterms:W3CDTF">2026-10-14T21:58:22Z</dcterms:created>
  <dcterms:modified xsi:type="dcterms:W3CDTF">2026-10-14T21:58:22Z</dcterms:modified>
</cp:coreProperties>
</file>

<file path=docProps/custom.xml><?xml version="1.0" encoding="utf-8"?>
<Properties xmlns="http://schemas.openxmlformats.org/officeDocument/2006/custom-properties" xmlns:vt="http://schemas.openxmlformats.org/officeDocument/2006/docPropsVTypes"/>
</file>