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djudication-templates-read-me-first"/>
    <w:p>
      <w:pPr>
        <w:pStyle w:val="Heading2"/>
        <w:keepNext/>
        <w:spacing w:before="240" w:after="80"/>
        <w:pBdr>
          <w:bottom w:val="single" w:sz="6" w:space="1" w:color="B4C6E7"/>
        </w:pBdr>
      </w:pPr>
      <w:r>
        <w:rPr>
          <w:b/>
          <w:color w:val="1F3864"/>
          <w:sz w:val="25"/>
        </w:rPr>
        <w:t xml:space="preserve">Adjudication templates: read me first</w:t>
      </w:r>
    </w:p>
    <w:p>
      <w:pPr>
        <w:pStyle w:val="FirstParagraph"/>
        <w:spacing w:before="0" w:after="120" w:line="269" w:lineRule="auto"/>
        <w:jc w:val="both"/>
      </w:pPr>
      <w:r>
        <w:t xml:space="preserve">Five templates take a demand case from the first letter to the hearing. The order-in-original and its checklist are templates B1 and C2.</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47"/>
        <w:gridCol w:w="2754"/>
        <w:gridCol w:w="5737"/>
      </w:tblGrid>
      <w:tr>
        <w:trPr>
          <w:tblHeader w:val="true"/>
          <w:tblHeader/>
        </w:trPr>
        <w:tc>
          <w:tcPr>
            <w:tcW w:type="dxa" w:w="1147"/>
            <w:shd w:val="clear" w:color="auto" w:fill="DCE6F1"/>
          </w:tcPr>
          <w:p>
            <w:pPr>
              <w:pStyle w:val="Compact"/>
              <w:spacing w:before="0" w:after="0" w:line="240" w:lineRule="auto"/>
              <w:jc w:val="left"/>
            </w:pPr>
            <w:r>
              <w:rPr>
                <w:b/>
                <w:color w:val="1F3864"/>
                <w:sz w:val="21"/>
              </w:rPr>
              <w:t xml:space="preserve">Procedure</w:t>
            </w:r>
          </w:p>
        </w:tc>
        <w:tc>
          <w:tcPr>
            <w:tcW w:type="dxa" w:w="2754"/>
            <w:shd w:val="clear" w:color="auto" w:fill="DCE6F1"/>
          </w:tcPr>
          <w:p>
            <w:pPr>
              <w:pStyle w:val="Compact"/>
              <w:spacing w:before="0" w:after="0" w:line="240" w:lineRule="auto"/>
              <w:jc w:val="left"/>
            </w:pPr>
            <w:r>
              <w:rPr>
                <w:b/>
                <w:color w:val="1F3864"/>
                <w:sz w:val="21"/>
              </w:rPr>
              <w:t xml:space="preserve">Template</w:t>
            </w:r>
          </w:p>
        </w:tc>
        <w:tc>
          <w:tcPr>
            <w:tcW w:type="dxa" w:w="5737"/>
            <w:shd w:val="clear" w:color="auto" w:fill="DCE6F1"/>
          </w:tcPr>
          <w:p>
            <w:pPr>
              <w:pStyle w:val="Compact"/>
              <w:spacing w:before="0" w:after="0" w:line="240" w:lineRule="auto"/>
              <w:jc w:val="left"/>
            </w:pPr>
            <w:r>
              <w:rPr>
                <w:b/>
                <w:color w:val="1F3864"/>
                <w:sz w:val="21"/>
              </w:rPr>
              <w:t xml:space="preserve">Use it when</w:t>
            </w:r>
          </w:p>
        </w:tc>
      </w:tr>
      <w:tr>
        <w:tc>
          <w:tcPr>
            <w:tcW w:type="dxa" w:w="1147"/>
          </w:tcPr>
          <w:p>
            <w:pPr>
              <w:pStyle w:val="Compact"/>
              <w:spacing w:before="0" w:after="0" w:line="240" w:lineRule="auto"/>
              <w:jc w:val="left"/>
            </w:pPr>
            <w:r>
              <w:rPr>
                <w:sz w:val="21"/>
              </w:rPr>
              <w:t xml:space="preserve">Pre-SCN</w:t>
            </w:r>
          </w:p>
        </w:tc>
        <w:tc>
          <w:tcPr>
            <w:tcW w:type="dxa" w:w="2754"/>
          </w:tcPr>
          <w:p>
            <w:pPr>
              <w:pStyle w:val="Compact"/>
              <w:spacing w:before="0" w:after="0" w:line="240" w:lineRule="auto"/>
              <w:jc w:val="left"/>
            </w:pPr>
            <w:r>
              <w:rPr>
                <w:bCs/>
                <w:b/>
                <w:sz w:val="21"/>
              </w:rPr>
              <w:t xml:space="preserve">A3</w:t>
            </w:r>
            <w:r>
              <w:rPr>
                <w:sz w:val="21"/>
              </w:rPr>
              <w:t xml:space="preserve"> </w:t>
            </w:r>
            <w:r>
              <w:rPr>
                <w:sz w:val="21"/>
              </w:rPr>
              <w:t xml:space="preserve">DRC-01A intimation</w:t>
            </w:r>
          </w:p>
        </w:tc>
        <w:tc>
          <w:tcPr>
            <w:tcW w:type="dxa" w:w="5737"/>
          </w:tcPr>
          <w:p>
            <w:pPr>
              <w:pStyle w:val="Compact"/>
              <w:spacing w:before="0" w:after="0" w:line="240" w:lineRule="auto"/>
              <w:jc w:val="left"/>
            </w:pPr>
            <w:r>
              <w:rPr>
                <w:sz w:val="21"/>
              </w:rPr>
              <w:t xml:space="preserve">Optional; recommended in every fraud case. Let its reply time run out before issuing A1.</w:t>
            </w:r>
          </w:p>
        </w:tc>
      </w:tr>
      <w:tr>
        <w:tc>
          <w:tcPr>
            <w:tcW w:type="dxa" w:w="1147"/>
          </w:tcPr>
          <w:p>
            <w:pPr>
              <w:pStyle w:val="Compact"/>
              <w:spacing w:before="0" w:after="0" w:line="240" w:lineRule="auto"/>
              <w:jc w:val="left"/>
            </w:pPr>
            <w:r>
              <w:rPr>
                <w:sz w:val="21"/>
              </w:rPr>
              <w:t xml:space="preserve">SCN</w:t>
            </w:r>
          </w:p>
        </w:tc>
        <w:tc>
          <w:tcPr>
            <w:tcW w:type="dxa" w:w="2754"/>
          </w:tcPr>
          <w:p>
            <w:pPr>
              <w:pStyle w:val="Compact"/>
              <w:spacing w:before="0" w:after="0" w:line="240" w:lineRule="auto"/>
              <w:jc w:val="left"/>
            </w:pPr>
            <w:r>
              <w:rPr>
                <w:bCs/>
                <w:b/>
                <w:sz w:val="21"/>
              </w:rPr>
              <w:t xml:space="preserve">A1</w:t>
            </w:r>
            <w:r>
              <w:rPr>
                <w:sz w:val="21"/>
              </w:rPr>
              <w:t xml:space="preserve"> </w:t>
            </w:r>
            <w:r>
              <w:rPr>
                <w:sz w:val="21"/>
              </w:rPr>
              <w:t xml:space="preserve">(this file) +</w:t>
            </w:r>
            <w:r>
              <w:rPr>
                <w:sz w:val="21"/>
              </w:rPr>
              <w:t xml:space="preserve"> </w:t>
            </w:r>
            <w:r>
              <w:rPr>
                <w:bCs/>
                <w:b/>
                <w:sz w:val="21"/>
              </w:rPr>
              <w:t xml:space="preserve">A2</w:t>
            </w:r>
            <w:r>
              <w:rPr>
                <w:sz w:val="21"/>
              </w:rPr>
              <w:t xml:space="preserve"> </w:t>
            </w:r>
            <w:r>
              <w:rPr>
                <w:sz w:val="21"/>
              </w:rPr>
              <w:t xml:space="preserve">issue modules</w:t>
            </w:r>
          </w:p>
        </w:tc>
        <w:tc>
          <w:tcPr>
            <w:tcW w:type="dxa" w:w="5737"/>
          </w:tcPr>
          <w:p>
            <w:pPr>
              <w:pStyle w:val="Compact"/>
              <w:spacing w:before="0" w:after="0" w:line="240" w:lineRule="auto"/>
              <w:jc w:val="left"/>
            </w:pPr>
            <w:r>
              <w:rPr>
                <w:sz w:val="21"/>
              </w:rPr>
              <w:t xml:space="preserve">Any demand of tax, credit or erroneous refund under s.73, 74 or 74A,</w:t>
            </w:r>
            <w:r>
              <w:rPr>
                <w:sz w:val="21"/>
              </w:rPr>
              <w:t xml:space="preserve"> </w:t>
            </w:r>
            <w:r>
              <w:rPr>
                <w:bCs/>
                <w:b/>
                <w:sz w:val="21"/>
              </w:rPr>
              <w:t xml:space="preserve">one financial year</w:t>
            </w:r>
            <w:r>
              <w:rPr>
                <w:sz w:val="21"/>
              </w:rPr>
              <w:t xml:space="preserve"> </w:t>
            </w:r>
            <w:r>
              <w:rPr>
                <w:sz w:val="21"/>
              </w:rPr>
              <w:t xml:space="preserve">per notice (recommended practice; a composite multi-year s.74 notice is lawful in Telangana:</w:t>
            </w:r>
            <w:r>
              <w:rPr>
                <w:sz w:val="21"/>
              </w:rPr>
              <w:t xml:space="preserve"> </w:t>
            </w:r>
            <w:r>
              <w:rPr>
                <w:iCs/>
                <w:i/>
                <w:sz w:val="21"/>
              </w:rPr>
              <w:t xml:space="preserve">Goldstone Infra</w:t>
            </w:r>
            <w:r>
              <w:rPr>
                <w:sz w:val="21"/>
              </w:rPr>
              <w:t xml:space="preserve">, Telangana HC DB, 27.01.2026), served with DRC-01. Paste one A2 module per issue into Part 3.</w:t>
            </w:r>
          </w:p>
        </w:tc>
      </w:tr>
      <w:tr>
        <w:tc>
          <w:tcPr>
            <w:tcW w:type="dxa" w:w="1147"/>
          </w:tcPr>
          <w:p>
            <w:pPr>
              <w:pStyle w:val="Compact"/>
              <w:spacing w:before="0" w:after="0" w:line="240" w:lineRule="auto"/>
              <w:jc w:val="left"/>
            </w:pPr>
            <w:r>
              <w:rPr>
                <w:sz w:val="21"/>
              </w:rPr>
              <w:t xml:space="preserve">Hearing</w:t>
            </w:r>
          </w:p>
        </w:tc>
        <w:tc>
          <w:tcPr>
            <w:tcW w:type="dxa" w:w="2754"/>
          </w:tcPr>
          <w:p>
            <w:pPr>
              <w:pStyle w:val="Compact"/>
              <w:spacing w:before="0" w:after="0" w:line="240" w:lineRule="auto"/>
              <w:jc w:val="left"/>
            </w:pPr>
            <w:r>
              <w:rPr>
                <w:bCs/>
                <w:b/>
                <w:sz w:val="21"/>
              </w:rPr>
              <w:t xml:space="preserve">A4</w:t>
            </w:r>
            <w:r>
              <w:rPr>
                <w:sz w:val="21"/>
              </w:rPr>
              <w:t xml:space="preserve"> </w:t>
            </w:r>
            <w:r>
              <w:rPr>
                <w:sz w:val="21"/>
              </w:rPr>
              <w:t xml:space="preserve">(a) hearing notice, (b) adjournment / final opportunity, (c) record of hearing</w:t>
            </w:r>
          </w:p>
        </w:tc>
        <w:tc>
          <w:tcPr>
            <w:tcW w:type="dxa" w:w="5737"/>
          </w:tcPr>
          <w:p>
            <w:pPr>
              <w:pStyle w:val="Compact"/>
              <w:spacing w:before="0" w:after="0" w:line="240" w:lineRule="auto"/>
              <w:jc w:val="left"/>
            </w:pPr>
            <w:r>
              <w:rPr>
                <w:sz w:val="21"/>
              </w:rPr>
              <w:t xml:space="preserve">After the reply date or on any request. A1 also fixes a first date.</w:t>
            </w:r>
          </w:p>
        </w:tc>
      </w:tr>
      <w:tr>
        <w:tc>
          <w:tcPr>
            <w:tcW w:type="dxa" w:w="1147"/>
          </w:tcPr>
          <w:p>
            <w:pPr>
              <w:pStyle w:val="Compact"/>
              <w:spacing w:before="0" w:after="0" w:line="240" w:lineRule="auto"/>
              <w:jc w:val="left"/>
            </w:pPr>
            <w:r>
              <w:rPr>
                <w:sz w:val="21"/>
              </w:rPr>
              <w:t xml:space="preserve">Correction</w:t>
            </w:r>
          </w:p>
        </w:tc>
        <w:tc>
          <w:tcPr>
            <w:tcW w:type="dxa" w:w="2754"/>
          </w:tcPr>
          <w:p>
            <w:pPr>
              <w:pStyle w:val="Compact"/>
              <w:spacing w:before="0" w:after="0" w:line="240" w:lineRule="auto"/>
              <w:jc w:val="left"/>
            </w:pPr>
            <w:r>
              <w:rPr>
                <w:bCs/>
                <w:b/>
                <w:sz w:val="21"/>
              </w:rPr>
              <w:t xml:space="preserve">A5</w:t>
            </w:r>
            <w:r>
              <w:rPr>
                <w:sz w:val="21"/>
              </w:rPr>
              <w:t xml:space="preserve"> </w:t>
            </w:r>
            <w:r>
              <w:rPr>
                <w:sz w:val="21"/>
              </w:rPr>
              <w:t xml:space="preserve">corrigendum / addendum</w:t>
            </w:r>
          </w:p>
        </w:tc>
        <w:tc>
          <w:tcPr>
            <w:tcW w:type="dxa" w:w="5737"/>
          </w:tcPr>
          <w:p>
            <w:pPr>
              <w:pStyle w:val="Compact"/>
              <w:spacing w:before="0" w:after="0" w:line="240" w:lineRule="auto"/>
              <w:jc w:val="left"/>
            </w:pPr>
            <w:r>
              <w:rPr>
                <w:sz w:val="21"/>
              </w:rPr>
              <w:t xml:space="preserve">Clerical slip, wrong citation, change of authority, reduced demand, documents served late. Never to enlarge a demand after the time limit.</w:t>
            </w:r>
          </w:p>
        </w:tc>
      </w:tr>
    </w:tbl>
    <w:p>
      <w:pPr>
        <w:spacing w:before="0" w:after="120" w:line="269" w:lineRule="auto"/>
      </w:pP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489"/>
        <w:gridCol w:w="1290"/>
        <w:gridCol w:w="1912"/>
        <w:gridCol w:w="3946"/>
      </w:tblGrid>
      <w:tr>
        <w:trPr>
          <w:tblHeader w:val="true"/>
          <w:tblHeader/>
        </w:trPr>
        <w:tc>
          <w:tcPr>
            <w:tcW w:type="dxa" w:w="2489"/>
            <w:shd w:val="clear" w:color="auto" w:fill="DCE6F1"/>
          </w:tcPr>
          <w:p>
            <w:pPr>
              <w:pStyle w:val="Compact"/>
              <w:spacing w:before="0" w:after="0" w:line="240" w:lineRule="auto"/>
              <w:jc w:val="left"/>
            </w:pPr>
            <w:r>
              <w:rPr>
                <w:b/>
                <w:color w:val="1F3864"/>
                <w:sz w:val="21"/>
              </w:rPr>
              <w:t xml:space="preserve">Year and facts</w:t>
            </w:r>
          </w:p>
        </w:tc>
        <w:tc>
          <w:tcPr>
            <w:tcW w:type="dxa" w:w="1290"/>
            <w:shd w:val="clear" w:color="auto" w:fill="DCE6F1"/>
          </w:tcPr>
          <w:p>
            <w:pPr>
              <w:pStyle w:val="Compact"/>
              <w:spacing w:before="0" w:after="0" w:line="240" w:lineRule="auto"/>
              <w:jc w:val="left"/>
            </w:pPr>
            <w:r>
              <w:rPr>
                <w:b/>
                <w:color w:val="1F3864"/>
                <w:sz w:val="21"/>
              </w:rPr>
              <w:t xml:space="preserve">Keep-variant</w:t>
            </w:r>
          </w:p>
        </w:tc>
        <w:tc>
          <w:tcPr>
            <w:tcW w:type="dxa" w:w="1912"/>
            <w:shd w:val="clear" w:color="auto" w:fill="DCE6F1"/>
          </w:tcPr>
          <w:p>
            <w:pPr>
              <w:pStyle w:val="Compact"/>
              <w:spacing w:before="0" w:after="0" w:line="240" w:lineRule="auto"/>
              <w:jc w:val="left"/>
            </w:pPr>
            <w:r>
              <w:rPr>
                <w:b/>
                <w:color w:val="1F3864"/>
                <w:sz w:val="21"/>
              </w:rPr>
              <w:t xml:space="preserve">Penalty</w:t>
            </w:r>
          </w:p>
        </w:tc>
        <w:tc>
          <w:tcPr>
            <w:tcW w:type="dxa" w:w="3946"/>
            <w:shd w:val="clear" w:color="auto" w:fill="DCE6F1"/>
          </w:tcPr>
          <w:p>
            <w:pPr>
              <w:pStyle w:val="Compact"/>
              <w:spacing w:before="0" w:after="0" w:line="240" w:lineRule="auto"/>
              <w:jc w:val="left"/>
            </w:pPr>
            <w:r>
              <w:rPr>
                <w:b/>
                <w:color w:val="1F3864"/>
                <w:sz w:val="21"/>
              </w:rPr>
              <w:t xml:space="preserve">Closes the case after the notice</w:t>
            </w:r>
          </w:p>
        </w:tc>
      </w:tr>
      <w:tr>
        <w:tc>
          <w:tcPr>
            <w:tcW w:type="dxa" w:w="2489"/>
          </w:tcPr>
          <w:p>
            <w:pPr>
              <w:pStyle w:val="Compact"/>
              <w:spacing w:before="0" w:after="0" w:line="240" w:lineRule="auto"/>
              <w:jc w:val="left"/>
            </w:pPr>
            <w:r>
              <w:rPr>
                <w:sz w:val="21"/>
              </w:rPr>
              <w:t xml:space="preserve">FY 2017-18 to 2023-24, no fraud</w:t>
            </w:r>
          </w:p>
        </w:tc>
        <w:tc>
          <w:tcPr>
            <w:tcW w:type="dxa" w:w="1290"/>
          </w:tcPr>
          <w:p>
            <w:pPr>
              <w:pStyle w:val="Compact"/>
              <w:spacing w:before="0" w:after="0" w:line="240" w:lineRule="auto"/>
              <w:jc w:val="left"/>
            </w:pPr>
            <w:r>
              <w:rPr>
                <w:bCs/>
                <w:b/>
                <w:sz w:val="21"/>
              </w:rPr>
              <w:t xml:space="preserve">[S.73]</w:t>
            </w:r>
          </w:p>
        </w:tc>
        <w:tc>
          <w:tcPr>
            <w:tcW w:type="dxa" w:w="1912"/>
          </w:tcPr>
          <w:p>
            <w:pPr>
              <w:pStyle w:val="Compact"/>
              <w:spacing w:before="0" w:after="0" w:line="240" w:lineRule="auto"/>
              <w:jc w:val="left"/>
            </w:pPr>
            <w:r>
              <w:rPr>
                <w:sz w:val="21"/>
              </w:rPr>
              <w:t xml:space="preserve">s.73(9): 10% or ₹10,000, if higher</w:t>
            </w:r>
          </w:p>
        </w:tc>
        <w:tc>
          <w:tcPr>
            <w:tcW w:type="dxa" w:w="3946"/>
          </w:tcPr>
          <w:p>
            <w:pPr>
              <w:pStyle w:val="Compact"/>
              <w:spacing w:before="0" w:after="0" w:line="240" w:lineRule="auto"/>
              <w:jc w:val="left"/>
            </w:pPr>
            <w:r>
              <w:rPr>
                <w:sz w:val="21"/>
              </w:rPr>
              <w:t xml:space="preserve">Tax + interest in 30 days (s.73(8)); not for unpaid self-assessed tax (s.73(11))</w:t>
            </w:r>
          </w:p>
        </w:tc>
      </w:tr>
      <w:tr>
        <w:tc>
          <w:tcPr>
            <w:tcW w:type="dxa" w:w="2489"/>
          </w:tcPr>
          <w:p>
            <w:pPr>
              <w:pStyle w:val="Compact"/>
              <w:spacing w:before="0" w:after="0" w:line="240" w:lineRule="auto"/>
              <w:jc w:val="left"/>
            </w:pPr>
            <w:r>
              <w:rPr>
                <w:sz w:val="21"/>
              </w:rPr>
              <w:t xml:space="preserve">FY 2017-18 to 2023-24, fraud pleaded with facts</w:t>
            </w:r>
          </w:p>
        </w:tc>
        <w:tc>
          <w:tcPr>
            <w:tcW w:type="dxa" w:w="1290"/>
          </w:tcPr>
          <w:p>
            <w:pPr>
              <w:pStyle w:val="Compact"/>
              <w:spacing w:before="0" w:after="0" w:line="240" w:lineRule="auto"/>
              <w:jc w:val="left"/>
            </w:pPr>
            <w:r>
              <w:rPr>
                <w:bCs/>
                <w:b/>
                <w:sz w:val="21"/>
              </w:rPr>
              <w:t xml:space="preserve">[S.74]</w:t>
            </w:r>
            <w:r>
              <w:rPr>
                <w:sz w:val="21"/>
              </w:rPr>
              <w:t xml:space="preserve"> </w:t>
            </w:r>
            <w:r>
              <w:rPr>
                <w:sz w:val="21"/>
              </w:rPr>
              <w:t xml:space="preserve">+ Part 5</w:t>
            </w:r>
          </w:p>
        </w:tc>
        <w:tc>
          <w:tcPr>
            <w:tcW w:type="dxa" w:w="1912"/>
          </w:tcPr>
          <w:p>
            <w:pPr>
              <w:pStyle w:val="Compact"/>
              <w:spacing w:before="0" w:after="0" w:line="240" w:lineRule="auto"/>
              <w:jc w:val="left"/>
            </w:pPr>
            <w:r>
              <w:rPr>
                <w:sz w:val="21"/>
              </w:rPr>
              <w:t xml:space="preserve">s.74(1): equal to tax</w:t>
            </w:r>
          </w:p>
        </w:tc>
        <w:tc>
          <w:tcPr>
            <w:tcW w:type="dxa" w:w="3946"/>
          </w:tcPr>
          <w:p>
            <w:pPr>
              <w:pStyle w:val="Compact"/>
              <w:spacing w:before="0" w:after="0" w:line="240" w:lineRule="auto"/>
              <w:jc w:val="left"/>
            </w:pPr>
            <w:r>
              <w:rPr>
                <w:sz w:val="21"/>
              </w:rPr>
              <w:t xml:space="preserve">Tax + interest + 25% in 30 days (s.74(8))</w:t>
            </w:r>
          </w:p>
        </w:tc>
      </w:tr>
      <w:tr>
        <w:tc>
          <w:tcPr>
            <w:tcW w:type="dxa" w:w="2489"/>
          </w:tcPr>
          <w:p>
            <w:pPr>
              <w:pStyle w:val="Compact"/>
              <w:spacing w:before="0" w:after="0" w:line="240" w:lineRule="auto"/>
              <w:jc w:val="left"/>
            </w:pPr>
            <w:r>
              <w:rPr>
                <w:sz w:val="21"/>
              </w:rPr>
              <w:t xml:space="preserve">FY 2024-25 onwards, no fraud</w:t>
            </w:r>
          </w:p>
        </w:tc>
        <w:tc>
          <w:tcPr>
            <w:tcW w:type="dxa" w:w="1290"/>
          </w:tcPr>
          <w:p>
            <w:pPr>
              <w:pStyle w:val="Compact"/>
              <w:spacing w:before="0" w:after="0" w:line="240" w:lineRule="auto"/>
              <w:jc w:val="left"/>
            </w:pPr>
            <w:r>
              <w:rPr>
                <w:bCs/>
                <w:b/>
                <w:sz w:val="21"/>
              </w:rPr>
              <w:t xml:space="preserve">[S.74A(i)]</w:t>
            </w:r>
          </w:p>
        </w:tc>
        <w:tc>
          <w:tcPr>
            <w:tcW w:type="dxa" w:w="1912"/>
          </w:tcPr>
          <w:p>
            <w:pPr>
              <w:pStyle w:val="Compact"/>
              <w:spacing w:before="0" w:after="0" w:line="240" w:lineRule="auto"/>
              <w:jc w:val="left"/>
            </w:pPr>
            <w:r>
              <w:rPr>
                <w:sz w:val="21"/>
              </w:rPr>
              <w:t xml:space="preserve">s.74A(5)(i): 10% or ₹10,000, if higher</w:t>
            </w:r>
          </w:p>
        </w:tc>
        <w:tc>
          <w:tcPr>
            <w:tcW w:type="dxa" w:w="3946"/>
          </w:tcPr>
          <w:p>
            <w:pPr>
              <w:pStyle w:val="Compact"/>
              <w:spacing w:before="0" w:after="0" w:line="240" w:lineRule="auto"/>
              <w:jc w:val="left"/>
            </w:pPr>
            <w:r>
              <w:rPr>
                <w:sz w:val="21"/>
              </w:rPr>
              <w:t xml:space="preserve">Tax + interest in 60 days (s.74A(8)(ii)); not s.74A(11) cases</w:t>
            </w:r>
          </w:p>
        </w:tc>
      </w:tr>
      <w:tr>
        <w:tc>
          <w:tcPr>
            <w:tcW w:type="dxa" w:w="2489"/>
          </w:tcPr>
          <w:p>
            <w:pPr>
              <w:pStyle w:val="Compact"/>
              <w:spacing w:before="0" w:after="0" w:line="240" w:lineRule="auto"/>
              <w:jc w:val="left"/>
            </w:pPr>
            <w:r>
              <w:rPr>
                <w:sz w:val="21"/>
              </w:rPr>
              <w:t xml:space="preserve">FY 2024-25 onwards, fraud pleaded with facts</w:t>
            </w:r>
          </w:p>
        </w:tc>
        <w:tc>
          <w:tcPr>
            <w:tcW w:type="dxa" w:w="1290"/>
          </w:tcPr>
          <w:p>
            <w:pPr>
              <w:pStyle w:val="Compact"/>
              <w:spacing w:before="0" w:after="0" w:line="240" w:lineRule="auto"/>
              <w:jc w:val="left"/>
            </w:pPr>
            <w:r>
              <w:rPr>
                <w:bCs/>
                <w:b/>
                <w:sz w:val="21"/>
              </w:rPr>
              <w:t xml:space="preserve">[S.74A(ii)]</w:t>
            </w:r>
            <w:r>
              <w:rPr>
                <w:sz w:val="21"/>
              </w:rPr>
              <w:t xml:space="preserve"> </w:t>
            </w:r>
            <w:r>
              <w:rPr>
                <w:sz w:val="21"/>
              </w:rPr>
              <w:t xml:space="preserve">+ Part 5</w:t>
            </w:r>
          </w:p>
        </w:tc>
        <w:tc>
          <w:tcPr>
            <w:tcW w:type="dxa" w:w="1912"/>
          </w:tcPr>
          <w:p>
            <w:pPr>
              <w:pStyle w:val="Compact"/>
              <w:spacing w:before="0" w:after="0" w:line="240" w:lineRule="auto"/>
              <w:jc w:val="left"/>
            </w:pPr>
            <w:r>
              <w:rPr>
                <w:sz w:val="21"/>
              </w:rPr>
              <w:t xml:space="preserve">s.74A(5)(ii): equal to tax</w:t>
            </w:r>
          </w:p>
        </w:tc>
        <w:tc>
          <w:tcPr>
            <w:tcW w:type="dxa" w:w="3946"/>
          </w:tcPr>
          <w:p>
            <w:pPr>
              <w:pStyle w:val="Compact"/>
              <w:spacing w:before="0" w:after="0" w:line="240" w:lineRule="auto"/>
              <w:jc w:val="left"/>
            </w:pPr>
            <w:r>
              <w:rPr>
                <w:sz w:val="21"/>
              </w:rPr>
              <w:t xml:space="preserve">Tax + interest + 25% in 60 days (s.74A(9)(ii))</w:t>
            </w:r>
          </w:p>
        </w:tc>
      </w:tr>
    </w:tbl>
    <w:p>
      <w:pPr>
        <w:spacing w:before="0" w:after="120" w:line="269" w:lineRule="auto"/>
      </w:pP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947"/>
        <w:gridCol w:w="2126"/>
        <w:gridCol w:w="2246"/>
        <w:gridCol w:w="2319"/>
      </w:tblGrid>
      <w:tr>
        <w:trPr>
          <w:tblHeader w:val="true"/>
          <w:tblHeader/>
        </w:trPr>
        <w:tc>
          <w:tcPr>
            <w:tcW w:type="dxa" w:w="2947"/>
            <w:shd w:val="clear" w:color="auto" w:fill="DCE6F1"/>
          </w:tcPr>
          <w:p>
            <w:pPr>
              <w:pStyle w:val="Compact"/>
              <w:spacing w:before="0" w:after="0" w:line="240" w:lineRule="auto"/>
              <w:jc w:val="left"/>
            </w:pPr>
            <w:r>
              <w:rPr>
                <w:b/>
                <w:color w:val="1F3864"/>
                <w:sz w:val="21"/>
              </w:rPr>
              <w:t xml:space="preserve">FY (annual return due)</w:t>
            </w:r>
          </w:p>
        </w:tc>
        <w:tc>
          <w:tcPr>
            <w:tcW w:type="dxa" w:w="2126"/>
            <w:shd w:val="clear" w:color="auto" w:fill="DCE6F1"/>
          </w:tcPr>
          <w:p>
            <w:pPr>
              <w:pStyle w:val="Compact"/>
              <w:spacing w:before="0" w:after="0" w:line="240" w:lineRule="auto"/>
              <w:jc w:val="left"/>
            </w:pPr>
            <w:r>
              <w:rPr>
                <w:b/>
                <w:color w:val="1F3864"/>
                <w:sz w:val="21"/>
              </w:rPr>
              <w:t xml:space="preserve">s.73 notice / order by</w:t>
            </w:r>
          </w:p>
        </w:tc>
        <w:tc>
          <w:tcPr>
            <w:tcW w:type="dxa" w:w="2246"/>
            <w:shd w:val="clear" w:color="auto" w:fill="DCE6F1"/>
          </w:tcPr>
          <w:p>
            <w:pPr>
              <w:pStyle w:val="Compact"/>
              <w:spacing w:before="0" w:after="0" w:line="240" w:lineRule="auto"/>
              <w:jc w:val="left"/>
            </w:pPr>
            <w:r>
              <w:rPr>
                <w:b/>
                <w:color w:val="1F3864"/>
                <w:sz w:val="21"/>
              </w:rPr>
              <w:t xml:space="preserve">s.74 notice / order by</w:t>
            </w:r>
          </w:p>
        </w:tc>
        <w:tc>
          <w:tcPr>
            <w:tcW w:type="dxa" w:w="2319"/>
            <w:shd w:val="clear" w:color="auto" w:fill="DCE6F1"/>
          </w:tcPr>
          <w:p>
            <w:pPr>
              <w:pStyle w:val="Compact"/>
              <w:spacing w:before="0" w:after="0" w:line="240" w:lineRule="auto"/>
              <w:jc w:val="left"/>
            </w:pPr>
            <w:r>
              <w:rPr>
                <w:b/>
                <w:color w:val="1F3864"/>
                <w:sz w:val="21"/>
              </w:rPr>
              <w:t xml:space="preserve">s.74A notice by</w:t>
            </w:r>
          </w:p>
        </w:tc>
      </w:tr>
      <w:tr>
        <w:tc>
          <w:tcPr>
            <w:tcW w:type="dxa" w:w="2947"/>
          </w:tcPr>
          <w:p>
            <w:pPr>
              <w:pStyle w:val="Compact"/>
              <w:spacing w:before="0" w:after="0" w:line="240" w:lineRule="auto"/>
              <w:jc w:val="left"/>
            </w:pPr>
            <w:r>
              <w:rPr>
                <w:sz w:val="21"/>
              </w:rPr>
              <w:t xml:space="preserve">2021-22 (31.12.2022)</w:t>
            </w:r>
          </w:p>
        </w:tc>
        <w:tc>
          <w:tcPr>
            <w:tcW w:type="dxa" w:w="2126"/>
          </w:tcPr>
          <w:p>
            <w:pPr>
              <w:pStyle w:val="Compact"/>
              <w:spacing w:before="0" w:after="0" w:line="240" w:lineRule="auto"/>
              <w:jc w:val="left"/>
            </w:pPr>
            <w:r>
              <w:rPr>
                <w:sz w:val="21"/>
              </w:rPr>
              <w:t xml:space="preserve">Closed</w:t>
            </w:r>
          </w:p>
        </w:tc>
        <w:tc>
          <w:tcPr>
            <w:tcW w:type="dxa" w:w="2246"/>
          </w:tcPr>
          <w:p>
            <w:pPr>
              <w:pStyle w:val="Compact"/>
              <w:spacing w:before="0" w:after="0" w:line="240" w:lineRule="auto"/>
              <w:jc w:val="left"/>
            </w:pPr>
            <w:r>
              <w:rPr>
                <w:sz w:val="21"/>
              </w:rPr>
              <w:t xml:space="preserve">30.06.2027 / 31.12.2027</w:t>
            </w:r>
          </w:p>
        </w:tc>
        <w:tc>
          <w:tcPr>
            <w:tcW w:type="dxa" w:w="2319"/>
          </w:tcPr>
          <w:p>
            <w:pPr>
              <w:pStyle w:val="Compact"/>
              <w:spacing w:before="0" w:after="0" w:line="240" w:lineRule="auto"/>
              <w:jc w:val="left"/>
            </w:pPr>
            <w:r>
              <w:rPr>
                <w:sz w:val="21"/>
              </w:rPr>
              <w:t xml:space="preserve">—</w:t>
            </w:r>
          </w:p>
        </w:tc>
      </w:tr>
      <w:tr>
        <w:tc>
          <w:tcPr>
            <w:tcW w:type="dxa" w:w="2947"/>
          </w:tcPr>
          <w:p>
            <w:pPr>
              <w:pStyle w:val="Compact"/>
              <w:spacing w:before="0" w:after="0" w:line="240" w:lineRule="auto"/>
              <w:jc w:val="left"/>
            </w:pPr>
            <w:r>
              <w:rPr>
                <w:sz w:val="21"/>
              </w:rPr>
              <w:t xml:space="preserve">2022-23 (31.12.2023)</w:t>
            </w:r>
          </w:p>
        </w:tc>
        <w:tc>
          <w:tcPr>
            <w:tcW w:type="dxa" w:w="2126"/>
          </w:tcPr>
          <w:p>
            <w:pPr>
              <w:pStyle w:val="Compact"/>
              <w:spacing w:before="0" w:after="0" w:line="240" w:lineRule="auto"/>
              <w:jc w:val="left"/>
            </w:pPr>
            <w:r>
              <w:rPr>
                <w:sz w:val="21"/>
              </w:rPr>
              <w:t xml:space="preserve">Notice closed; orders by</w:t>
            </w:r>
            <w:r>
              <w:rPr>
                <w:sz w:val="21"/>
              </w:rPr>
              <w:t xml:space="preserve"> </w:t>
            </w:r>
            <w:r>
              <w:rPr>
                <w:bCs/>
                <w:b/>
                <w:sz w:val="21"/>
              </w:rPr>
              <w:t xml:space="preserve">31.12.2026</w:t>
            </w:r>
          </w:p>
        </w:tc>
        <w:tc>
          <w:tcPr>
            <w:tcW w:type="dxa" w:w="2246"/>
          </w:tcPr>
          <w:p>
            <w:pPr>
              <w:pStyle w:val="Compact"/>
              <w:spacing w:before="0" w:after="0" w:line="240" w:lineRule="auto"/>
              <w:jc w:val="left"/>
            </w:pPr>
            <w:r>
              <w:rPr>
                <w:sz w:val="21"/>
              </w:rPr>
              <w:t xml:space="preserve">30.06.2028 / 31.12.2028</w:t>
            </w:r>
          </w:p>
        </w:tc>
        <w:tc>
          <w:tcPr>
            <w:tcW w:type="dxa" w:w="2319"/>
          </w:tcPr>
          <w:p>
            <w:pPr>
              <w:pStyle w:val="Compact"/>
              <w:spacing w:before="0" w:after="0" w:line="240" w:lineRule="auto"/>
              <w:jc w:val="left"/>
            </w:pPr>
            <w:r>
              <w:rPr>
                <w:sz w:val="21"/>
              </w:rPr>
              <w:t xml:space="preserve">—</w:t>
            </w:r>
          </w:p>
        </w:tc>
      </w:tr>
      <w:tr>
        <w:tc>
          <w:tcPr>
            <w:tcW w:type="dxa" w:w="2947"/>
          </w:tcPr>
          <w:p>
            <w:pPr>
              <w:pStyle w:val="Compact"/>
              <w:spacing w:before="0" w:after="0" w:line="240" w:lineRule="auto"/>
              <w:jc w:val="left"/>
            </w:pPr>
            <w:r>
              <w:rPr>
                <w:sz w:val="21"/>
              </w:rPr>
              <w:t xml:space="preserve">2023-24 (31.12.2024)</w:t>
            </w:r>
          </w:p>
        </w:tc>
        <w:tc>
          <w:tcPr>
            <w:tcW w:type="dxa" w:w="2126"/>
          </w:tcPr>
          <w:p>
            <w:pPr>
              <w:pStyle w:val="Compact"/>
              <w:spacing w:before="0" w:after="0" w:line="240" w:lineRule="auto"/>
              <w:jc w:val="left"/>
            </w:pPr>
            <w:r>
              <w:rPr>
                <w:sz w:val="21"/>
              </w:rPr>
              <w:t xml:space="preserve">30.09.2027 / 31.12.2027</w:t>
            </w:r>
          </w:p>
        </w:tc>
        <w:tc>
          <w:tcPr>
            <w:tcW w:type="dxa" w:w="2246"/>
          </w:tcPr>
          <w:p>
            <w:pPr>
              <w:pStyle w:val="Compact"/>
              <w:spacing w:before="0" w:after="0" w:line="240" w:lineRule="auto"/>
              <w:jc w:val="left"/>
            </w:pPr>
            <w:r>
              <w:rPr>
                <w:sz w:val="21"/>
              </w:rPr>
              <w:t xml:space="preserve">30.06.2029 / 31.12.2029</w:t>
            </w:r>
          </w:p>
        </w:tc>
        <w:tc>
          <w:tcPr>
            <w:tcW w:type="dxa" w:w="2319"/>
          </w:tcPr>
          <w:p>
            <w:pPr>
              <w:pStyle w:val="Compact"/>
              <w:spacing w:before="0" w:after="0" w:line="240" w:lineRule="auto"/>
              <w:jc w:val="left"/>
            </w:pPr>
            <w:r>
              <w:rPr>
                <w:sz w:val="21"/>
              </w:rPr>
              <w:t xml:space="preserve">—</w:t>
            </w:r>
          </w:p>
        </w:tc>
      </w:tr>
      <w:tr>
        <w:tc>
          <w:tcPr>
            <w:tcW w:type="dxa" w:w="2947"/>
          </w:tcPr>
          <w:p>
            <w:pPr>
              <w:pStyle w:val="Compact"/>
              <w:spacing w:before="0" w:after="0" w:line="240" w:lineRule="auto"/>
              <w:jc w:val="left"/>
            </w:pPr>
            <w:r>
              <w:rPr>
                <w:sz w:val="21"/>
              </w:rPr>
              <w:t xml:space="preserve">2024-25 (31.12.2025)</w:t>
            </w:r>
          </w:p>
        </w:tc>
        <w:tc>
          <w:tcPr>
            <w:tcW w:type="dxa" w:w="2126"/>
          </w:tcPr>
          <w:p>
            <w:pPr>
              <w:pStyle w:val="Compact"/>
              <w:spacing w:before="0" w:after="0" w:line="240" w:lineRule="auto"/>
              <w:jc w:val="left"/>
            </w:pPr>
            <w:r>
              <w:rPr>
                <w:sz w:val="21"/>
              </w:rPr>
              <w:t xml:space="preserve">—</w:t>
            </w:r>
          </w:p>
        </w:tc>
        <w:tc>
          <w:tcPr>
            <w:tcW w:type="dxa" w:w="2246"/>
          </w:tcPr>
          <w:p>
            <w:pPr>
              <w:pStyle w:val="Compact"/>
              <w:spacing w:before="0" w:after="0" w:line="240" w:lineRule="auto"/>
              <w:jc w:val="left"/>
            </w:pPr>
            <w:r>
              <w:rPr>
                <w:sz w:val="21"/>
              </w:rPr>
              <w:t xml:space="preserve">—</w:t>
            </w:r>
          </w:p>
        </w:tc>
        <w:tc>
          <w:tcPr>
            <w:tcW w:type="dxa" w:w="2319"/>
          </w:tcPr>
          <w:p>
            <w:pPr>
              <w:pStyle w:val="Compact"/>
              <w:spacing w:before="0" w:after="0" w:line="240" w:lineRule="auto"/>
              <w:jc w:val="left"/>
            </w:pPr>
            <w:r>
              <w:rPr>
                <w:sz w:val="21"/>
              </w:rPr>
              <w:t xml:space="preserve">30.06.2029; order 12 months from notice</w:t>
            </w:r>
          </w:p>
        </w:tc>
      </w:tr>
      <w:tr>
        <w:tc>
          <w:tcPr>
            <w:tcW w:type="dxa" w:w="2947"/>
          </w:tcPr>
          <w:p>
            <w:pPr>
              <w:pStyle w:val="Compact"/>
              <w:spacing w:before="0" w:after="0" w:line="240" w:lineRule="auto"/>
              <w:jc w:val="left"/>
            </w:pPr>
            <w:r>
              <w:rPr>
                <w:sz w:val="21"/>
              </w:rPr>
              <w:t xml:space="preserve">2025-26 (31.12.2026)</w:t>
            </w:r>
          </w:p>
        </w:tc>
        <w:tc>
          <w:tcPr>
            <w:tcW w:type="dxa" w:w="2126"/>
          </w:tcPr>
          <w:p>
            <w:pPr>
              <w:pStyle w:val="Compact"/>
              <w:spacing w:before="0" w:after="0" w:line="240" w:lineRule="auto"/>
              <w:jc w:val="left"/>
            </w:pPr>
            <w:r>
              <w:rPr>
                <w:sz w:val="21"/>
              </w:rPr>
              <w:t xml:space="preserve">—</w:t>
            </w:r>
          </w:p>
        </w:tc>
        <w:tc>
          <w:tcPr>
            <w:tcW w:type="dxa" w:w="2246"/>
          </w:tcPr>
          <w:p>
            <w:pPr>
              <w:pStyle w:val="Compact"/>
              <w:spacing w:before="0" w:after="0" w:line="240" w:lineRule="auto"/>
              <w:jc w:val="left"/>
            </w:pPr>
            <w:r>
              <w:rPr>
                <w:sz w:val="21"/>
              </w:rPr>
              <w:t xml:space="preserve">—</w:t>
            </w:r>
          </w:p>
        </w:tc>
        <w:tc>
          <w:tcPr>
            <w:tcW w:type="dxa" w:w="2319"/>
          </w:tcPr>
          <w:p>
            <w:pPr>
              <w:pStyle w:val="Compact"/>
              <w:spacing w:before="0" w:after="0" w:line="240" w:lineRule="auto"/>
              <w:jc w:val="left"/>
            </w:pPr>
            <w:r>
              <w:rPr>
                <w:sz w:val="21"/>
              </w:rPr>
              <w:t xml:space="preserve">30.06.2030; order 12 months from notice</w:t>
            </w:r>
          </w:p>
        </w:tc>
      </w:tr>
    </w:tbl>
    <w:p>
      <w:pPr>
        <w:pStyle w:val="BodyText"/>
        <w:spacing w:before="0" w:after="120" w:line="269" w:lineRule="auto"/>
        <w:jc w:val="both"/>
      </w:pPr>
      <w:r>
        <w:t xml:space="preserve">Worked out on 14.10.2026 from rule 80; re-check for any later extension.</w:t>
      </w:r>
      <w:r>
        <w:t xml:space="preserve"> </w:t>
      </w:r>
      <w:r>
        <w:rPr>
          <w:bCs/>
          <w:b/>
        </w:rPr>
        <w:t xml:space="preserve">Seven rules that remove most defects found in the eleven notices reviewed in 2026.</w:t>
      </w:r>
      <w:r>
        <w:t xml:space="preserve"> </w:t>
      </w:r>
      <w:r>
        <w:t xml:space="preserve">(1) One notice, one year, one section; never mix s.73/74 with s.74A. (2) Write the limitation in the notice and send it at least a month before the last date. (3) Fix the hearing date, time and place; never</w:t>
      </w:r>
      <w:r>
        <w:t xml:space="preserve"> </w:t>
      </w:r>
      <w:r>
        <w:t xml:space="preserve">“</w:t>
      </w:r>
      <w:r>
        <w:t xml:space="preserve">deemed waived</w:t>
      </w:r>
      <w:r>
        <w:t xml:space="preserve">”</w:t>
      </w:r>
      <w:r>
        <w:t xml:space="preserve">. (4) Number and enclose every relied-upon document. (5) Quantify tax, interest (sub-section) and penalty (clause) issue by issue in the DRC-01 13-column layout, crediting pre-notice DRC-03. (6) Plead fraud only with specific facts on one ground. (7) Sign the notice and every annexure digitally; serve on the portal</w:t>
      </w:r>
      <w:r>
        <w:t xml:space="preserve"> </w:t>
      </w:r>
      <w:r>
        <w:rPr>
          <w:bCs/>
          <w:b/>
        </w:rPr>
        <w:t xml:space="preserve">and</w:t>
      </w:r>
      <w:r>
        <w:t xml:space="preserve"> </w:t>
      </w:r>
      <w:r>
        <w:t xml:space="preserve">by e-mail or post.</w:t>
      </w:r>
    </w:p>
    <w:p>
      <w:pPr>
        <w:spacing w:before="0" w:after="120" w:line="269" w:lineRule="auto"/>
      </w:pPr>
      <w:r>
        <w:br w:type="page"/>
      </w:r>
    </w:p>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SHOW CAUSE NOTICE</w:t>
      </w:r>
      <w:r>
        <w:br/>
      </w:r>
      <w:r>
        <w:t xml:space="preserve">under section [73(1)] [74(1)] [74A(1)] of the CGST Act, 2017</w:t>
      </w:r>
      <w:r>
        <w:br/>
      </w:r>
      <w:r>
        <w:t xml:space="preserve">(served with its summary in FORM GST DRC-01: rule 142(1)(a))</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435"/>
        <w:gridCol w:w="7203"/>
      </w:tblGrid>
      <w:tr>
        <w:trPr>
          <w:tblHeader w:val="true"/>
          <w:tblHeader/>
        </w:trPr>
        <w:tc>
          <w:tcPr>
            <w:tcW w:type="dxa" w:w="2435"/>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203"/>
            <w:shd w:val="clear" w:color="auto" w:fill="DCE6F1"/>
          </w:tcPr>
          <w:p>
            <w:pPr>
              <w:pStyle w:val="Compact"/>
              <w:spacing w:before="0" w:after="0" w:line="240" w:lineRule="auto"/>
              <w:jc w:val="left"/>
            </w:pPr>
            <w:r>
              <w:rPr>
                <w:b/>
                <w:color w:val="1F3864"/>
                <w:sz w:val="21"/>
              </w:rPr>
              <w:t xml:space="preserve">Details</w:t>
            </w:r>
          </w:p>
        </w:tc>
      </w:tr>
      <w:tr>
        <w:tc>
          <w:tcPr>
            <w:tcW w:type="dxa" w:w="2435"/>
            <w:shd w:val="clear" w:color="auto" w:fill="F5F8FC"/>
          </w:tcPr>
          <w:p>
            <w:pPr>
              <w:pStyle w:val="Compact"/>
              <w:spacing w:before="0" w:after="0" w:line="240" w:lineRule="auto"/>
              <w:jc w:val="left"/>
            </w:pPr>
            <w:r>
              <w:rPr>
                <w:b/>
                <w:sz w:val="21"/>
              </w:rPr>
              <w:t xml:space="preserve">Notice No. and date</w:t>
            </w:r>
          </w:p>
        </w:tc>
        <w:tc>
          <w:tcPr>
            <w:tcW w:type="dxa" w:w="7203"/>
          </w:tcPr>
          <w:p>
            <w:pPr>
              <w:pStyle w:val="Compact"/>
              <w:spacing w:before="0" w:after="0" w:line="240" w:lineRule="auto"/>
              <w:jc w:val="left"/>
            </w:pPr>
            <w:r>
              <w:rPr>
                <w:sz w:val="21"/>
              </w:rPr>
              <w:t xml:space="preserve">[ ] dated [DD.MM.YYYY] (the date printed here is the date of the digital signature and of upload)</w:t>
            </w:r>
          </w:p>
        </w:tc>
      </w:tr>
      <w:tr>
        <w:tc>
          <w:tcPr>
            <w:tcW w:type="dxa" w:w="2435"/>
            <w:shd w:val="clear" w:color="auto" w:fill="F5F8FC"/>
          </w:tcPr>
          <w:p>
            <w:pPr>
              <w:pStyle w:val="Compact"/>
              <w:spacing w:before="0" w:after="0" w:line="240" w:lineRule="auto"/>
              <w:jc w:val="left"/>
            </w:pPr>
            <w:r>
              <w:rPr>
                <w:b/>
                <w:sz w:val="21"/>
              </w:rPr>
              <w:t xml:space="preserve">DRC-01 reference (RFN) / DIN</w:t>
            </w:r>
          </w:p>
        </w:tc>
        <w:tc>
          <w:tcPr>
            <w:tcW w:type="dxa" w:w="7203"/>
          </w:tcPr>
          <w:p>
            <w:pPr>
              <w:pStyle w:val="Compact"/>
              <w:spacing w:before="0" w:after="0" w:line="240" w:lineRule="auto"/>
              <w:jc w:val="left"/>
            </w:pPr>
            <w:r>
              <w:rPr>
                <w:sz w:val="21"/>
              </w:rPr>
              <w:t xml:space="preserve">RFN [ ] generated on the common portal. A communication served through the portal with an RFN needs no DIN (Circular No. 249/06/2025-GST). Copies sent by e-mail or post carry DIN [ ].</w:t>
            </w:r>
          </w:p>
        </w:tc>
      </w:tr>
      <w:tr>
        <w:tc>
          <w:tcPr>
            <w:tcW w:type="dxa" w:w="2435"/>
            <w:shd w:val="clear" w:color="auto" w:fill="F5F8FC"/>
          </w:tcPr>
          <w:p>
            <w:pPr>
              <w:pStyle w:val="Compact"/>
              <w:spacing w:before="0" w:after="0" w:line="240" w:lineRule="auto"/>
              <w:jc w:val="left"/>
            </w:pPr>
            <w:r>
              <w:rPr>
                <w:b/>
                <w:sz w:val="21"/>
              </w:rPr>
              <w:t xml:space="preserve">Noticee</w:t>
            </w:r>
          </w:p>
        </w:tc>
        <w:tc>
          <w:tcPr>
            <w:tcW w:type="dxa" w:w="7203"/>
          </w:tcPr>
          <w:p>
            <w:pPr>
              <w:pStyle w:val="Compact"/>
              <w:spacing w:before="0" w:after="0" w:line="240" w:lineRule="auto"/>
              <w:jc w:val="left"/>
            </w:pPr>
            <w:r>
              <w:rPr>
                <w:sz w:val="21"/>
              </w:rPr>
              <w:t xml:space="preserve">[Legal name] ([trade name]), GSTIN [ ] / Temporary ID [ ], [principal place of business]; registered e-mail [ ]</w:t>
            </w:r>
          </w:p>
        </w:tc>
      </w:tr>
      <w:tr>
        <w:tc>
          <w:tcPr>
            <w:tcW w:type="dxa" w:w="2435"/>
            <w:shd w:val="clear" w:color="auto" w:fill="F5F8FC"/>
          </w:tcPr>
          <w:p>
            <w:pPr>
              <w:pStyle w:val="Compact"/>
              <w:spacing w:before="0" w:after="0" w:line="240" w:lineRule="auto"/>
              <w:jc w:val="left"/>
            </w:pPr>
            <w:r>
              <w:rPr>
                <w:b/>
                <w:sz w:val="21"/>
              </w:rPr>
              <w:t xml:space="preserve">Financial year and tax periods</w:t>
            </w:r>
          </w:p>
        </w:tc>
        <w:tc>
          <w:tcPr>
            <w:tcW w:type="dxa" w:w="7203"/>
          </w:tcPr>
          <w:p>
            <w:pPr>
              <w:pStyle w:val="Compact"/>
              <w:spacing w:before="0" w:after="0" w:line="240" w:lineRule="auto"/>
              <w:jc w:val="left"/>
            </w:pPr>
            <w:r>
              <w:rPr>
                <w:sz w:val="21"/>
              </w:rPr>
              <w:t xml:space="preserve">FY [YYYY-YY] only; [Month YYYY] to [Month YYYY]</w:t>
            </w:r>
          </w:p>
        </w:tc>
      </w:tr>
      <w:tr>
        <w:tc>
          <w:tcPr>
            <w:tcW w:type="dxa" w:w="2435"/>
            <w:shd w:val="clear" w:color="auto" w:fill="F5F8FC"/>
          </w:tcPr>
          <w:p>
            <w:pPr>
              <w:pStyle w:val="Compact"/>
              <w:spacing w:before="0" w:after="0" w:line="240" w:lineRule="auto"/>
              <w:jc w:val="left"/>
            </w:pPr>
            <w:r>
              <w:rPr>
                <w:b/>
                <w:sz w:val="21"/>
              </w:rPr>
              <w:t xml:space="preserve">Sections invoked (the same words are used in DRC-01 and in para 10.5)</w:t>
            </w:r>
          </w:p>
        </w:tc>
        <w:tc>
          <w:tcPr>
            <w:tcW w:type="dxa" w:w="7203"/>
          </w:tcPr>
          <w:p>
            <w:pPr>
              <w:pStyle w:val="Compact"/>
              <w:spacing w:before="0" w:after="0" w:line="240" w:lineRule="auto"/>
              <w:jc w:val="left"/>
            </w:pPr>
            <w:r>
              <w:rPr>
                <w:sz w:val="21"/>
              </w:rPr>
              <w:t xml:space="preserve">Tax: section [73(1)] [74(1)] [74A(1)]; interest: section 50([1] / [3]); penalty: section [73(9)] [74(1)] [74A(5)(i)] [74A(5)(ii)] [; section 122(1)([ ]) only for the separate act in para 8.3]</w:t>
            </w:r>
          </w:p>
        </w:tc>
      </w:tr>
      <w:tr>
        <w:tc>
          <w:tcPr>
            <w:tcW w:type="dxa" w:w="2435"/>
            <w:shd w:val="clear" w:color="auto" w:fill="F5F8FC"/>
          </w:tcPr>
          <w:p>
            <w:pPr>
              <w:pStyle w:val="Compact"/>
              <w:spacing w:before="0" w:after="0" w:line="240" w:lineRule="auto"/>
              <w:jc w:val="left"/>
            </w:pPr>
            <w:r>
              <w:rPr>
                <w:b/>
                <w:sz w:val="21"/>
              </w:rPr>
              <w:t xml:space="preserve">Issues and tax proposed</w:t>
            </w:r>
          </w:p>
        </w:tc>
        <w:tc>
          <w:tcPr>
            <w:tcW w:type="dxa" w:w="7203"/>
          </w:tcPr>
          <w:p>
            <w:pPr>
              <w:pStyle w:val="Compact"/>
              <w:spacing w:before="0" w:after="0" w:line="240" w:lineRule="auto"/>
              <w:jc w:val="left"/>
            </w:pPr>
            <w:r>
              <w:rPr>
                <w:sz w:val="21"/>
              </w:rPr>
              <w:t xml:space="preserve">Issue 1: [short title] ₹[ ]; Issue 2: [ ] ₹[ ]. Total tax: IGST ₹[ ]; CGST ₹[ ]; SGST ₹[ ]; Cess ₹[ ]; Total ₹[ ] (Part 6)</w:t>
            </w:r>
          </w:p>
        </w:tc>
      </w:tr>
      <w:tr>
        <w:tc>
          <w:tcPr>
            <w:tcW w:type="dxa" w:w="2435"/>
            <w:shd w:val="clear" w:color="auto" w:fill="F5F8FC"/>
          </w:tcPr>
          <w:p>
            <w:pPr>
              <w:pStyle w:val="Compact"/>
              <w:spacing w:before="0" w:after="0" w:line="240" w:lineRule="auto"/>
              <w:jc w:val="left"/>
            </w:pPr>
            <w:r>
              <w:rPr>
                <w:b/>
                <w:sz w:val="21"/>
              </w:rPr>
              <w:t xml:space="preserve">Time limit</w:t>
            </w:r>
          </w:p>
        </w:tc>
        <w:tc>
          <w:tcPr>
            <w:tcW w:type="dxa" w:w="7203"/>
          </w:tcPr>
          <w:p>
            <w:pPr>
              <w:pStyle w:val="Compact"/>
              <w:spacing w:before="0" w:after="0" w:line="240" w:lineRule="auto"/>
              <w:jc w:val="left"/>
            </w:pPr>
            <w:r>
              <w:rPr>
                <w:sz w:val="21"/>
              </w:rPr>
              <w:t xml:space="preserve">Notice: by [DD.MM.YYYY] under section [73(2)] [74(2)] [74A(2)]. Order: by [DD.MM.YYYY] under section [73(10)] [74(10)] [74A(7)] (Part 4)</w:t>
            </w:r>
          </w:p>
        </w:tc>
      </w:tr>
      <w:tr>
        <w:tc>
          <w:tcPr>
            <w:tcW w:type="dxa" w:w="2435"/>
            <w:shd w:val="clear" w:color="auto" w:fill="F5F8FC"/>
          </w:tcPr>
          <w:p>
            <w:pPr>
              <w:pStyle w:val="Compact"/>
              <w:spacing w:before="0" w:after="0" w:line="240" w:lineRule="auto"/>
              <w:jc w:val="left"/>
            </w:pPr>
            <w:r>
              <w:rPr>
                <w:b/>
                <w:sz w:val="21"/>
              </w:rPr>
              <w:t xml:space="preserve">Reply</w:t>
            </w:r>
          </w:p>
        </w:tc>
        <w:tc>
          <w:tcPr>
            <w:tcW w:type="dxa" w:w="7203"/>
          </w:tcPr>
          <w:p>
            <w:pPr>
              <w:pStyle w:val="Compact"/>
              <w:spacing w:before="0" w:after="0" w:line="240" w:lineRule="auto"/>
              <w:jc w:val="left"/>
            </w:pPr>
            <w:r>
              <w:rPr>
                <w:sz w:val="21"/>
              </w:rPr>
              <w:t xml:space="preserve">In FORM GST DRC-06 within thirty days of receipt of this notice (para 10.2)</w:t>
            </w:r>
          </w:p>
        </w:tc>
      </w:tr>
      <w:tr>
        <w:tc>
          <w:tcPr>
            <w:tcW w:type="dxa" w:w="2435"/>
            <w:shd w:val="clear" w:color="auto" w:fill="F5F8FC"/>
          </w:tcPr>
          <w:p>
            <w:pPr>
              <w:pStyle w:val="Compact"/>
              <w:spacing w:before="0" w:after="0" w:line="240" w:lineRule="auto"/>
              <w:jc w:val="left"/>
            </w:pPr>
            <w:r>
              <w:rPr>
                <w:b/>
                <w:sz w:val="21"/>
              </w:rPr>
              <w:t xml:space="preserve">Payment that closes the case</w:t>
            </w:r>
          </w:p>
        </w:tc>
        <w:tc>
          <w:tcPr>
            <w:tcW w:type="dxa" w:w="7203"/>
          </w:tcPr>
          <w:p>
            <w:pPr>
              <w:pStyle w:val="Compact"/>
              <w:spacing w:before="0" w:after="0" w:line="240" w:lineRule="auto"/>
              <w:jc w:val="left"/>
            </w:pPr>
            <w:r>
              <w:rPr>
                <w:sz w:val="21"/>
              </w:rPr>
              <w:t xml:space="preserve">By [DD.MM.YYYY] under section [73(8)] [74(8)] [74A(8)(ii)] [74A(9)(ii)] (para 10.1)</w:t>
            </w:r>
          </w:p>
        </w:tc>
      </w:tr>
      <w:tr>
        <w:tc>
          <w:tcPr>
            <w:tcW w:type="dxa" w:w="2435"/>
            <w:shd w:val="clear" w:color="auto" w:fill="F5F8FC"/>
          </w:tcPr>
          <w:p>
            <w:pPr>
              <w:pStyle w:val="Compact"/>
              <w:spacing w:before="0" w:after="0" w:line="240" w:lineRule="auto"/>
              <w:jc w:val="left"/>
            </w:pPr>
            <w:r>
              <w:rPr>
                <w:b/>
                <w:sz w:val="21"/>
              </w:rPr>
              <w:t xml:space="preserve">Personal hearing (section 75(4))</w:t>
            </w:r>
          </w:p>
        </w:tc>
        <w:tc>
          <w:tcPr>
            <w:tcW w:type="dxa" w:w="7203"/>
          </w:tcPr>
          <w:p>
            <w:pPr>
              <w:pStyle w:val="Compact"/>
              <w:spacing w:before="0" w:after="0" w:line="240" w:lineRule="auto"/>
              <w:jc w:val="left"/>
            </w:pPr>
            <w:r>
              <w:rPr>
                <w:bCs/>
                <w:b/>
                <w:sz w:val="21"/>
              </w:rPr>
              <w:t xml:space="preserve">[DD.MM.YYYY] at [HH:MM]</w:t>
            </w:r>
            <w:r>
              <w:rPr>
                <w:sz w:val="21"/>
              </w:rPr>
              <w:t xml:space="preserve">, at [room, office address] / by video conference (link to be sent to the registered e-mail) (para 10.4)</w:t>
            </w:r>
          </w:p>
        </w:tc>
      </w:tr>
      <w:tr>
        <w:tc>
          <w:tcPr>
            <w:tcW w:type="dxa" w:w="2435"/>
            <w:shd w:val="clear" w:color="auto" w:fill="F5F8FC"/>
          </w:tcPr>
          <w:p>
            <w:pPr>
              <w:pStyle w:val="Compact"/>
              <w:spacing w:before="0" w:after="0" w:line="240" w:lineRule="auto"/>
              <w:jc w:val="left"/>
            </w:pPr>
            <w:r>
              <w:rPr>
                <w:b/>
                <w:sz w:val="21"/>
              </w:rPr>
              <w:t xml:space="preserve">Adjudicating authority</w:t>
            </w:r>
          </w:p>
        </w:tc>
        <w:tc>
          <w:tcPr>
            <w:tcW w:type="dxa" w:w="7203"/>
          </w:tcPr>
          <w:p>
            <w:pPr>
              <w:pStyle w:val="Compact"/>
              <w:spacing w:before="0" w:after="0" w:line="240" w:lineRule="auto"/>
              <w:jc w:val="left"/>
            </w:pPr>
            <w:r>
              <w:rPr>
                <w:sz w:val="21"/>
              </w:rPr>
              <w:t xml:space="preserve">The undersigned, Assistant Commissioner of Central Tax, Sangareddy CGST Division</w:t>
            </w:r>
          </w:p>
        </w:tc>
      </w:tr>
    </w:tbl>
    <w:p>
      <w:pPr>
        <w:pStyle w:val="BodyText"/>
        <w:keepNext/>
        <w:spacing w:before="240" w:after="80"/>
        <w:pBdr>
          <w:bottom w:val="single" w:sz="6" w:space="1" w:color="B4C6E7"/>
        </w:pBdr>
      </w:pPr>
      <w:r>
        <w:rPr>
          <w:bCs/>
          <w:b/>
          <w:color w:val="1F3864"/>
          <w:sz w:val="25"/>
        </w:rPr>
        <w:t xml:space="preserve">1. How the case arose</w:t>
      </w:r>
    </w:p>
    <w:p>
      <w:pPr>
        <w:pStyle w:val="BodyText"/>
        <w:spacing w:before="0" w:after="120" w:line="269" w:lineRule="auto"/>
        <w:jc w:val="both"/>
      </w:pPr>
      <w:r>
        <w:t xml:space="preserve">1.1</w:t>
      </w:r>
      <w:r>
        <w:t xml:space="preserve"> </w:t>
      </w:r>
      <w:r>
        <w:rPr>
          <w:bCs/>
          <w:b/>
        </w:rPr>
        <w:t xml:space="preserve">The noticee.</w:t>
      </w:r>
      <w:r>
        <w:t xml:space="preserve"> </w:t>
      </w:r>
      <w:r>
        <w:t xml:space="preserve">[Legal name] (the noticee), GSTIN [ ], is registered from [DD.MM.YYYY] at [address] as a [proprietorship / partnership / company / LLP]. It is engaged in [nature of business: manufacture / trading / supply of services] of [description], falling under [HSN / SAC]. [Its aggregate turnover for FY [ ] as declared in GSTR-3B / GSTR-9 was ₹[ ].] [Unregistered person: see A2 module 7 for the description to use.]</w:t>
      </w:r>
    </w:p>
    <w:p>
      <w:pPr>
        <w:pStyle w:val="BodyText"/>
        <w:spacing w:before="0" w:after="120" w:line="269" w:lineRule="auto"/>
        <w:jc w:val="both"/>
      </w:pPr>
      <w:r>
        <w:t xml:space="preserve">1.2</w:t>
      </w:r>
      <w:r>
        <w:t xml:space="preserve"> </w:t>
      </w:r>
      <w:r>
        <w:rPr>
          <w:bCs/>
          <w:b/>
        </w:rPr>
        <w:t xml:space="preserve">Source of the case.</w:t>
      </w:r>
      <w:r>
        <w:t xml:space="preserve"> </w:t>
      </w:r>
      <w:r>
        <w:t xml:space="preserve">[Keep the one that applies.]</w:t>
      </w:r>
      <w:r>
        <w:t xml:space="preserve"> </w:t>
      </w:r>
      <w:r>
        <w:t xml:space="preserve">- [Scrutiny of returns under section 61: notice in FORM GST ASMT-10 No. [ ] dated [DD.MM.YYYY] (RUD-[ ]) pointed out [ ]. The reply in ASMT-11 dated [DD.MM.YYYY] (RUD-[ ]) [is summarised and answered in para 3.[ ]] / [No reply was received within the [thirty] days allowed].]</w:t>
      </w:r>
      <w:r>
        <w:t xml:space="preserve"> </w:t>
      </w:r>
      <w:r>
        <w:t xml:space="preserve">- [Audit under section 65: Final Audit Report in FORM GST ADT-02 No. [ ] dated [DD.MM.YYYY] (RUD-[ ]), para [ ]. The noticee’s reply dated [ ] to the [spot memo / audit observation] is dealt with in para 3.[ ].]</w:t>
      </w:r>
      <w:r>
        <w:t xml:space="preserve"> </w:t>
      </w:r>
      <w:r>
        <w:t xml:space="preserve">- [Investigation under section 67 / inquiry by [office]: [what was done, on which dates: inspection, search, summons, statements]. The report dated [ ] is enclosed as RUD-[ ] and summarised in para 3.[ ].]</w:t>
      </w:r>
      <w:r>
        <w:t xml:space="preserve"> </w:t>
      </w:r>
      <w:r>
        <w:t xml:space="preserve">- [Information from [DGGI / DGARM / State tax department / other wing] by letter dated [ ] (RUD-[ ]). The undersigned has examined the information independently, as set out in Part 3. The information is enclosed so that the noticee can answer it.]</w:t>
      </w:r>
    </w:p>
    <w:p>
      <w:pPr>
        <w:pStyle w:val="BodyText"/>
        <w:spacing w:before="0" w:after="120" w:line="269" w:lineRule="auto"/>
        <w:jc w:val="both"/>
      </w:pPr>
      <w:r>
        <w:t xml:space="preserve">1.3</w:t>
      </w:r>
      <w:r>
        <w:t xml:space="preserve"> </w:t>
      </w:r>
      <w:r>
        <w:rPr>
          <w:bCs/>
          <w:b/>
        </w:rPr>
        <w:t xml:space="preserve">Intimation before this notice.</w:t>
      </w:r>
      <w:r>
        <w:t xml:space="preserve"> </w:t>
      </w:r>
      <w:r>
        <w:t xml:space="preserve">[Option A: An intimation in Part A of FORM GST DRC-01A dated [DD.MM.YYYY] (RUD-[ ]) communicated the ascertained liability and allowed [thirty] days, up to [DD.MM.YYYY], to pay or to make submissions. That period has expired. [The submissions in Part B dated [DD.MM.YYYY] are set out and answered issue by issue in Part 3.] / [No submissions or payment were received.]] [Option B: No intimation in FORM GST DRC-01A was issued. Rule 142(1A) of the CGST Rules makes it optional (</w:t>
      </w:r>
      <w:r>
        <w:t xml:space="preserve">“</w:t>
      </w:r>
      <w:r>
        <w:t xml:space="preserve">may</w:t>
      </w:r>
      <w:r>
        <w:t xml:space="preserve">”</w:t>
      </w:r>
      <w:r>
        <w:t xml:space="preserve">, substituted by Notification No. 79/2020-Central Tax dated 15.10.2020). [Reason: the facts were already put to the noticee in [ASMT-10 / the audit observations] dated [ ].]]</w:t>
      </w:r>
    </w:p>
    <w:p>
      <w:pPr>
        <w:pStyle w:val="BodyText"/>
        <w:spacing w:before="0" w:after="120" w:line="269" w:lineRule="auto"/>
        <w:jc w:val="both"/>
      </w:pPr>
      <w:r>
        <w:t xml:space="preserve">1.4</w:t>
      </w:r>
      <w:r>
        <w:t xml:space="preserve"> </w:t>
      </w:r>
      <w:r>
        <w:rPr>
          <w:bCs/>
          <w:b/>
        </w:rPr>
        <w:t xml:space="preserve">Payments before this notice.</w:t>
      </w:r>
      <w:r>
        <w:t xml:space="preserve"> </w:t>
      </w:r>
      <w:r>
        <w:t xml:space="preserve">[Option A: The noticee paid IGST ₹[ ], CGST ₹[ ], SGST ₹[ ], Cess ₹[ ] [and interest ₹[ ]] [and penalty ₹[ ]] through FORM GST DRC-03 ARN [ ] dated [DD.MM.YYYY] towards Issue [ ]. Under section [73(6)] [74(6)] [74A(8)(i)] [74A(9)(i)], no notice is issued for the tax so paid. This notice proposes only the shortfall (section [73(7)] [74(7)] [74A(10)]), and the payment is shown as a credit in Part 6.] [Option B: No payment has been made towards the amounts in this notice; the electronic liability register and DRC-03 records were checked on [DD.MM.YYYY].]</w:t>
      </w:r>
    </w:p>
    <w:p>
      <w:pPr>
        <w:pStyle w:val="BodyText"/>
        <w:spacing w:before="0" w:after="120" w:line="269" w:lineRule="auto"/>
        <w:jc w:val="both"/>
      </w:pPr>
      <w:r>
        <w:t xml:space="preserve">1.5</w:t>
      </w:r>
      <w:r>
        <w:t xml:space="preserve"> </w:t>
      </w:r>
      <w:r>
        <w:rPr>
          <w:bCs/>
          <w:b/>
        </w:rPr>
        <w:t xml:space="preserve">Authority of the undersigned.</w:t>
      </w:r>
      <w:r>
        <w:t xml:space="preserve"> </w:t>
      </w:r>
      <w:r>
        <w:t xml:space="preserve">This notice is issued by the undersigned as the proper officer under section [73] [74] [74A] of the CGST Act. The tax proposed, excluding interest and penalty, is central tax (with cess) ₹[ ] [and integrated tax (with cess) ₹[ ], together ₹[ ]]. It falls within the monetary limit of a Deputy or Assistant Commissioner: above ₹10 lakh and up to ₹1 crore of central tax, or above ₹20 lakh and up to ₹2 crore of integrated tax or of central and integrated tax together (para 5 of Circular No. 31/05/2018-GST dated 09.02.2018, as amended by Circulars No. 169/01/2022-GST and 239/33/2024-GST) [S.74A: Table II of Circular No. 254/11/2025-GST dated 27.10.2025, which applies the same limits to section 74A]. [For a notice issued by an Audit or DGGI officer and answerable to this office, cite the circular or notification that makes the undersigned the adjudicating authority.]</w:t>
      </w:r>
    </w:p>
    <w:p>
      <w:pPr>
        <w:pStyle w:val="BodyText"/>
        <w:spacing w:before="0" w:after="120" w:line="269" w:lineRule="auto"/>
        <w:jc w:val="both"/>
      </w:pPr>
      <w:r>
        <w:t xml:space="preserve">1.6</w:t>
      </w:r>
      <w:r>
        <w:t xml:space="preserve"> </w:t>
      </w:r>
      <w:r>
        <w:rPr>
          <w:bCs/>
          <w:b/>
        </w:rPr>
        <w:t xml:space="preserve">No parallel proceedings.</w:t>
      </w:r>
      <w:r>
        <w:t xml:space="preserve"> </w:t>
      </w:r>
      <w:r>
        <w:t xml:space="preserve">It has been verified from the common portal on [DD.MM.YYYY] [and by letter dated [ ] to the [Assistant Commissioner (ST), [circle]]] that no notice on the subject matter of this notice (issues: [ ]; period: FY [ ]) has been issued under the Telangana Goods and Services Tax Act, 2017 (section 6(2)(b) of the CGST Act). No earlier notice of this office covers the same period and issues. [Where the State has acted on a different issue for the same period, say what that issue is and why it is a different subject matter.]</w:t>
      </w:r>
    </w:p>
    <w:p>
      <w:pPr>
        <w:pStyle w:val="BodyText"/>
        <w:spacing w:before="0" w:after="120" w:line="269" w:lineRule="auto"/>
        <w:jc w:val="both"/>
      </w:pPr>
      <w:r>
        <w:t xml:space="preserve">1.7</w:t>
      </w:r>
      <w:r>
        <w:t xml:space="preserve"> </w:t>
      </w:r>
      <w:r>
        <w:rPr>
          <w:bCs/>
          <w:b/>
        </w:rPr>
        <w:t xml:space="preserve">Scope.</w:t>
      </w:r>
      <w:r>
        <w:t xml:space="preserve"> </w:t>
      </w:r>
      <w:r>
        <w:t xml:space="preserve">This notice covers financial year [YYYY-YY] only. [Any other year is dealt with in a separate notice No. [ ] of the same date.]</w:t>
      </w:r>
    </w:p>
    <w:p>
      <w:pPr>
        <w:pStyle w:val="BlockText"/>
        <w:shd w:val="clear" w:color="auto" w:fill="E7E6E6"/>
      </w:pPr>
      <w:r>
        <w:rPr>
          <w:bCs/>
          <w:b/>
          <w:sz w:val="21"/>
        </w:rPr>
        <w:t xml:space="preserve">Drafting note (Part 1).</w:t>
      </w:r>
      <w:r>
        <w:rPr>
          <w:sz w:val="21"/>
        </w:rPr>
        <w:t xml:space="preserve"> </w:t>
      </w:r>
      <w:r>
        <w:rPr>
          <w:sz w:val="21"/>
        </w:rPr>
        <w:t xml:space="preserve">The source paragraph must show your own examination of any audit objection, DGGI intimation or other wing’s report: say what you checked. If DRC-01A or audit observations were sent, the notice must answer the reply point by point; a notice that repeats the intimation and ignores the reply is at risk. Do not issue the notice before the reply time given in DRC-01A, ASMT-10 or the audit observation has run out. For a taxpayer who migrated from another jurisdiction, record that this office now has jurisdiction (Circular No. 255/01/2026-GST). Check the monetary limits against the current text of the circulars before relying on para 1.5.</w:t>
      </w:r>
    </w:p>
    <w:p>
      <w:pPr>
        <w:pStyle w:val="FirstParagraph"/>
        <w:keepNext/>
        <w:spacing w:before="240" w:after="80"/>
        <w:pBdr>
          <w:bottom w:val="single" w:sz="6" w:space="1" w:color="B4C6E7"/>
        </w:pBdr>
      </w:pPr>
      <w:r>
        <w:rPr>
          <w:bCs/>
          <w:b/>
          <w:color w:val="1F3864"/>
          <w:sz w:val="25"/>
        </w:rPr>
        <w:t xml:space="preserve">2. Legal provisions</w:t>
      </w:r>
    </w:p>
    <w:p>
      <w:pPr>
        <w:pStyle w:val="BodyText"/>
        <w:spacing w:before="0" w:after="120" w:line="269" w:lineRule="auto"/>
        <w:jc w:val="both"/>
      </w:pPr>
      <w:r>
        <w:t xml:space="preserve">2.1 The provisions relied on are set out below, in their text as in force for the period of this notice. Only the operative words are quoted; the full text is in the CGST Act and Rules.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703"/>
        <w:gridCol w:w="5935"/>
      </w:tblGrid>
      <w:tr>
        <w:trPr>
          <w:tblHeader w:val="true"/>
          <w:tblHeader/>
        </w:trPr>
        <w:tc>
          <w:tcPr>
            <w:tcW w:type="dxa" w:w="3703"/>
            <w:shd w:val="clear" w:color="auto" w:fill="DCE6F1"/>
          </w:tcPr>
          <w:p>
            <w:pPr>
              <w:pStyle w:val="Compact"/>
              <w:spacing w:before="0" w:after="0" w:line="240" w:lineRule="auto"/>
              <w:jc w:val="left"/>
            </w:pPr>
            <w:r>
              <w:rPr>
                <w:b/>
                <w:color w:val="1F3864"/>
                <w:sz w:val="21"/>
              </w:rPr>
              <w:t xml:space="preserve">Provision</w:t>
            </w:r>
          </w:p>
        </w:tc>
        <w:tc>
          <w:tcPr>
            <w:tcW w:type="dxa" w:w="5935"/>
            <w:shd w:val="clear" w:color="auto" w:fill="DCE6F1"/>
          </w:tcPr>
          <w:p>
            <w:pPr>
              <w:pStyle w:val="Compact"/>
              <w:spacing w:before="0" w:after="0" w:line="240" w:lineRule="auto"/>
              <w:jc w:val="left"/>
            </w:pPr>
            <w:r>
              <w:rPr>
                <w:b/>
                <w:color w:val="1F3864"/>
                <w:sz w:val="21"/>
              </w:rPr>
              <w:t xml:space="preserve">What it says, so far as relevant</w:t>
            </w:r>
          </w:p>
        </w:tc>
      </w:tr>
      <w:tr>
        <w:tc>
          <w:tcPr>
            <w:tcW w:type="dxa" w:w="3703"/>
          </w:tcPr>
          <w:p>
            <w:pPr>
              <w:pStyle w:val="Compact"/>
              <w:spacing w:before="0" w:after="0" w:line="240" w:lineRule="auto"/>
              <w:jc w:val="left"/>
            </w:pPr>
            <w:r>
              <w:rPr>
                <w:sz w:val="21"/>
              </w:rPr>
              <w:t xml:space="preserve">[Charging or credit provision, e.g. section 9(1) / section 16(2)(aa) / rule 36(4)]</w:t>
            </w:r>
          </w:p>
        </w:tc>
        <w:tc>
          <w:tcPr>
            <w:tcW w:type="dxa" w:w="5935"/>
          </w:tcPr>
          <w:p>
            <w:pPr>
              <w:pStyle w:val="Compact"/>
              <w:spacing w:before="0" w:after="0" w:line="240" w:lineRule="auto"/>
              <w:jc w:val="left"/>
            </w:pPr>
            <w:r>
              <w:rPr>
                <w:sz w:val="21"/>
              </w:rPr>
              <w:t xml:space="preserve">[operative words, quoted]</w:t>
            </w:r>
          </w:p>
        </w:tc>
      </w:tr>
      <w:tr>
        <w:tc>
          <w:tcPr>
            <w:tcW w:type="dxa" w:w="3703"/>
          </w:tcPr>
          <w:p>
            <w:pPr>
              <w:pStyle w:val="Compact"/>
              <w:spacing w:before="0" w:after="0" w:line="240" w:lineRule="auto"/>
              <w:jc w:val="left"/>
            </w:pPr>
            <w:r>
              <w:rPr>
                <w:sz w:val="21"/>
              </w:rPr>
              <w:t xml:space="preserve">[Provision breached, issue 2]</w:t>
            </w:r>
          </w:p>
        </w:tc>
        <w:tc>
          <w:tcPr>
            <w:tcW w:type="dxa" w:w="5935"/>
          </w:tcPr>
          <w:p>
            <w:pPr>
              <w:pStyle w:val="Compact"/>
              <w:spacing w:before="0" w:after="0" w:line="240" w:lineRule="auto"/>
              <w:jc w:val="left"/>
            </w:pPr>
            <w:r>
              <w:rPr>
                <w:sz w:val="21"/>
              </w:rPr>
              <w:t xml:space="preserve">[ ]</w:t>
            </w:r>
          </w:p>
        </w:tc>
      </w:tr>
      <w:tr>
        <w:tc>
          <w:tcPr>
            <w:tcW w:type="dxa" w:w="3703"/>
          </w:tcPr>
          <w:p>
            <w:pPr>
              <w:pStyle w:val="Compact"/>
              <w:spacing w:before="0" w:after="0" w:line="240" w:lineRule="auto"/>
              <w:jc w:val="left"/>
            </w:pPr>
            <w:r>
              <w:rPr>
                <w:sz w:val="21"/>
              </w:rPr>
              <w:t xml:space="preserve">[S.73] Section 73(1), (9), (10) and (12)</w:t>
            </w:r>
          </w:p>
        </w:tc>
        <w:tc>
          <w:tcPr>
            <w:tcW w:type="dxa" w:w="5935"/>
          </w:tcPr>
          <w:p>
            <w:pPr>
              <w:pStyle w:val="Compact"/>
              <w:spacing w:before="0" w:after="0" w:line="240" w:lineRule="auto"/>
              <w:jc w:val="left"/>
            </w:pPr>
            <w:r>
              <w:rPr>
                <w:sz w:val="21"/>
              </w:rPr>
              <w:t xml:space="preserve">Notice and order for tax not paid or short paid, or input tax credit wrongly availed or utilised, for any reason other than fraud, wilful misstatement or suppression of facts to evade tax, for periods up to FY 2023-24; penalty of 10% of tax or ₹10,000, whichever is higher</w:t>
            </w:r>
          </w:p>
        </w:tc>
      </w:tr>
      <w:tr>
        <w:tc>
          <w:tcPr>
            <w:tcW w:type="dxa" w:w="3703"/>
          </w:tcPr>
          <w:p>
            <w:pPr>
              <w:pStyle w:val="Compact"/>
              <w:spacing w:before="0" w:after="0" w:line="240" w:lineRule="auto"/>
              <w:jc w:val="left"/>
            </w:pPr>
            <w:r>
              <w:rPr>
                <w:sz w:val="21"/>
              </w:rPr>
              <w:t xml:space="preserve">[S.74] Section 74(1), (9), (10), (12) and Explanation 2</w:t>
            </w:r>
          </w:p>
        </w:tc>
        <w:tc>
          <w:tcPr>
            <w:tcW w:type="dxa" w:w="5935"/>
          </w:tcPr>
          <w:p>
            <w:pPr>
              <w:pStyle w:val="Compact"/>
              <w:spacing w:before="0" w:after="0" w:line="240" w:lineRule="auto"/>
              <w:jc w:val="left"/>
            </w:pPr>
            <w:r>
              <w:rPr>
                <w:sz w:val="21"/>
              </w:rPr>
              <w:t xml:space="preserve">The same, where the reason is fraud, wilful misstatement or suppression of facts to evade tax; penalty equal to the tax;</w:t>
            </w:r>
            <w:r>
              <w:rPr>
                <w:sz w:val="21"/>
              </w:rPr>
              <w:t xml:space="preserve"> </w:t>
            </w:r>
            <w:r>
              <w:rPr>
                <w:sz w:val="21"/>
              </w:rPr>
              <w:t xml:space="preserve">“</w:t>
            </w:r>
            <w:r>
              <w:rPr>
                <w:sz w:val="21"/>
              </w:rPr>
              <w:t xml:space="preserve">suppression</w:t>
            </w:r>
            <w:r>
              <w:rPr>
                <w:sz w:val="21"/>
              </w:rPr>
              <w:t xml:space="preserve">”</w:t>
            </w:r>
            <w:r>
              <w:rPr>
                <w:sz w:val="21"/>
              </w:rPr>
              <w:t xml:space="preserve"> </w:t>
            </w:r>
            <w:r>
              <w:rPr>
                <w:sz w:val="21"/>
              </w:rPr>
              <w:t xml:space="preserve">defined</w:t>
            </w:r>
          </w:p>
        </w:tc>
      </w:tr>
      <w:tr>
        <w:tc>
          <w:tcPr>
            <w:tcW w:type="dxa" w:w="3703"/>
          </w:tcPr>
          <w:p>
            <w:pPr>
              <w:pStyle w:val="Compact"/>
              <w:spacing w:before="0" w:after="0" w:line="240" w:lineRule="auto"/>
              <w:jc w:val="left"/>
            </w:pPr>
            <w:r>
              <w:rPr>
                <w:sz w:val="21"/>
              </w:rPr>
              <w:t xml:space="preserve">[S.74A] Section 74A(1), (2), (5)([i] / [ii]), (6), (7) and (12)</w:t>
            </w:r>
          </w:p>
        </w:tc>
        <w:tc>
          <w:tcPr>
            <w:tcW w:type="dxa" w:w="5935"/>
          </w:tcPr>
          <w:p>
            <w:pPr>
              <w:pStyle w:val="Compact"/>
              <w:spacing w:before="0" w:after="0" w:line="240" w:lineRule="auto"/>
              <w:jc w:val="left"/>
            </w:pPr>
            <w:r>
              <w:rPr>
                <w:sz w:val="21"/>
              </w:rPr>
              <w:t xml:space="preserve">Notice and order for FY 2024-25 onwards; penalty under (5)(i) of 10% of tax or ₹10,000, whichever is higher, or under (5)(ii) equal to the tax where fraud, wilful misstatement or suppression is established</w:t>
            </w:r>
          </w:p>
        </w:tc>
      </w:tr>
      <w:tr>
        <w:tc>
          <w:tcPr>
            <w:tcW w:type="dxa" w:w="3703"/>
          </w:tcPr>
          <w:p>
            <w:pPr>
              <w:pStyle w:val="Compact"/>
              <w:spacing w:before="0" w:after="0" w:line="240" w:lineRule="auto"/>
              <w:jc w:val="left"/>
            </w:pPr>
            <w:r>
              <w:rPr>
                <w:sz w:val="21"/>
              </w:rPr>
              <w:t xml:space="preserve">Section 50([1] / [3]) and rule 88B([1] / [2] / [3])</w:t>
            </w:r>
          </w:p>
        </w:tc>
        <w:tc>
          <w:tcPr>
            <w:tcW w:type="dxa" w:w="5935"/>
          </w:tcPr>
          <w:p>
            <w:pPr>
              <w:pStyle w:val="Compact"/>
              <w:spacing w:before="0" w:after="0" w:line="240" w:lineRule="auto"/>
              <w:jc w:val="left"/>
            </w:pPr>
            <w:r>
              <w:rPr>
                <w:sz w:val="21"/>
              </w:rPr>
              <w:t xml:space="preserve">Interest on tax not paid / on input tax credit wrongly availed and utilised, and how it is calculated</w:t>
            </w:r>
          </w:p>
        </w:tc>
      </w:tr>
      <w:tr>
        <w:tc>
          <w:tcPr>
            <w:tcW w:type="dxa" w:w="3703"/>
          </w:tcPr>
          <w:p>
            <w:pPr>
              <w:pStyle w:val="Compact"/>
              <w:spacing w:before="0" w:after="0" w:line="240" w:lineRule="auto"/>
              <w:jc w:val="left"/>
            </w:pPr>
            <w:r>
              <w:rPr>
                <w:sz w:val="21"/>
              </w:rPr>
              <w:t xml:space="preserve">Section 75(4), (5), (7) and (13)</w:t>
            </w:r>
          </w:p>
        </w:tc>
        <w:tc>
          <w:tcPr>
            <w:tcW w:type="dxa" w:w="5935"/>
          </w:tcPr>
          <w:p>
            <w:pPr>
              <w:pStyle w:val="Compact"/>
              <w:spacing w:before="0" w:after="0" w:line="240" w:lineRule="auto"/>
              <w:jc w:val="left"/>
            </w:pPr>
            <w:r>
              <w:rPr>
                <w:sz w:val="21"/>
              </w:rPr>
              <w:t xml:space="preserve">Hearing; adjournments (not more than three); order not to exceed the notice; no second penalty for the same act</w:t>
            </w:r>
          </w:p>
        </w:tc>
      </w:tr>
      <w:tr>
        <w:tc>
          <w:tcPr>
            <w:tcW w:type="dxa" w:w="3703"/>
          </w:tcPr>
          <w:p>
            <w:pPr>
              <w:pStyle w:val="Compact"/>
              <w:spacing w:before="0" w:after="0" w:line="240" w:lineRule="auto"/>
              <w:jc w:val="left"/>
            </w:pPr>
            <w:r>
              <w:rPr>
                <w:sz w:val="21"/>
              </w:rPr>
              <w:t xml:space="preserve">Rule 142(1)(a), (2), (3) and (4)</w:t>
            </w:r>
          </w:p>
        </w:tc>
        <w:tc>
          <w:tcPr>
            <w:tcW w:type="dxa" w:w="5935"/>
          </w:tcPr>
          <w:p>
            <w:pPr>
              <w:pStyle w:val="Compact"/>
              <w:spacing w:before="0" w:after="0" w:line="240" w:lineRule="auto"/>
              <w:jc w:val="left"/>
            </w:pPr>
            <w:r>
              <w:rPr>
                <w:sz w:val="21"/>
              </w:rPr>
              <w:t xml:space="preserve">DRC-01 summary; payment by DRC-03; DRC-05 concluding proceedings; reply in DRC-06</w:t>
            </w:r>
          </w:p>
        </w:tc>
      </w:tr>
    </w:tbl>
    <w:p>
      <w:pPr>
        <w:pStyle w:val="BodyText"/>
        <w:spacing w:before="0" w:after="120" w:line="269" w:lineRule="auto"/>
        <w:jc w:val="both"/>
      </w:pPr>
      <w:r>
        <w:t xml:space="preserve">2.2 This notice is issued under the CGST Act and also under the corresponding provisions of the Telangana Goods and Services Tax Act, 2017 (the TGST Act) and, for integrated tax, the Integrated Goods and Services Tax Act, 2017 (section 20) [and, for cess, section 11(1) of the Goods and Services Tax (Compensation to States) Act, 2017]. A reference to a provision of the CGST Act or Rules includes the corresponding provision of those Acts and Rules.</w:t>
      </w:r>
    </w:p>
    <w:p>
      <w:pPr>
        <w:pStyle w:val="BlockText"/>
        <w:shd w:val="clear" w:color="auto" w:fill="E7E6E6"/>
      </w:pPr>
      <w:r>
        <w:rPr>
          <w:bCs/>
          <w:b/>
          <w:sz w:val="21"/>
        </w:rPr>
        <w:t xml:space="preserve">Drafting note (Part 2).</w:t>
      </w:r>
      <w:r>
        <w:rPr>
          <w:sz w:val="21"/>
        </w:rPr>
        <w:t xml:space="preserve"> </w:t>
      </w:r>
      <w:r>
        <w:rPr>
          <w:sz w:val="21"/>
        </w:rPr>
        <w:t xml:space="preserve">Quote the current text. Do not cite sections 42, 43 or 43A (omitted from 01.10.2022), the old section 41 (</w:t>
      </w:r>
      <w:r>
        <w:rPr>
          <w:sz w:val="21"/>
        </w:rPr>
        <w:t xml:space="preserve">“</w:t>
      </w:r>
      <w:r>
        <w:rPr>
          <w:sz w:val="21"/>
        </w:rPr>
        <w:t xml:space="preserve">provisional basis</w:t>
      </w:r>
      <w:r>
        <w:rPr>
          <w:sz w:val="21"/>
        </w:rPr>
        <w:t xml:space="preserve">”</w:t>
      </w:r>
      <w:r>
        <w:rPr>
          <w:sz w:val="21"/>
        </w:rPr>
        <w:t xml:space="preserve">), the old section 16(4) (</w:t>
      </w:r>
      <w:r>
        <w:rPr>
          <w:sz w:val="21"/>
        </w:rPr>
        <w:t xml:space="preserve">“</w:t>
      </w:r>
      <w:r>
        <w:rPr>
          <w:sz w:val="21"/>
        </w:rPr>
        <w:t xml:space="preserve">return for September</w:t>
      </w:r>
      <w:r>
        <w:rPr>
          <w:sz w:val="21"/>
        </w:rPr>
        <w:t xml:space="preserve">”</w:t>
      </w:r>
      <w:r>
        <w:rPr>
          <w:sz w:val="21"/>
        </w:rPr>
        <w:t xml:space="preserve">) or rule 61 with</w:t>
      </w:r>
      <w:r>
        <w:rPr>
          <w:sz w:val="21"/>
        </w:rPr>
        <w:t xml:space="preserve"> </w:t>
      </w:r>
      <w:r>
        <w:rPr>
          <w:sz w:val="21"/>
        </w:rPr>
        <w:t xml:space="preserve">“</w:t>
      </w:r>
      <w:r>
        <w:rPr>
          <w:sz w:val="21"/>
        </w:rPr>
        <w:t xml:space="preserve">FORM GSTR-3</w:t>
      </w:r>
      <w:r>
        <w:rPr>
          <w:sz w:val="21"/>
        </w:rPr>
        <w:t xml:space="preserve">”</w:t>
      </w:r>
      <w:r>
        <w:rPr>
          <w:sz w:val="21"/>
        </w:rPr>
        <w:t xml:space="preserve">. Do not refer to the</w:t>
      </w:r>
      <w:r>
        <w:rPr>
          <w:sz w:val="21"/>
        </w:rPr>
        <w:t xml:space="preserve"> </w:t>
      </w:r>
      <w:r>
        <w:rPr>
          <w:sz w:val="21"/>
        </w:rPr>
        <w:t xml:space="preserve">“</w:t>
      </w:r>
      <w:r>
        <w:rPr>
          <w:sz w:val="21"/>
        </w:rPr>
        <w:t xml:space="preserve">Finance Act</w:t>
      </w:r>
      <w:r>
        <w:rPr>
          <w:sz w:val="21"/>
        </w:rPr>
        <w:t xml:space="preserve">”</w:t>
      </w:r>
      <w:r>
        <w:rPr>
          <w:sz w:val="21"/>
        </w:rPr>
        <w:t xml:space="preserve"> </w:t>
      </w:r>
      <w:r>
        <w:rPr>
          <w:sz w:val="21"/>
        </w:rPr>
        <w:t xml:space="preserve">(a service-tax carry-over). Write rate notifications with</w:t>
      </w:r>
      <w:r>
        <w:rPr>
          <w:sz w:val="21"/>
        </w:rPr>
        <w:t xml:space="preserve"> </w:t>
      </w:r>
      <w:r>
        <w:rPr>
          <w:sz w:val="21"/>
        </w:rPr>
        <w:t xml:space="preserve">“</w:t>
      </w:r>
      <w:r>
        <w:rPr>
          <w:sz w:val="21"/>
        </w:rPr>
        <w:t xml:space="preserve">(Rate)</w:t>
      </w:r>
      <w:r>
        <w:rPr>
          <w:sz w:val="21"/>
        </w:rPr>
        <w:t xml:space="preserve">”</w:t>
      </w:r>
      <w:r>
        <w:rPr>
          <w:sz w:val="21"/>
        </w:rPr>
        <w:t xml:space="preserve"> </w:t>
      </w:r>
      <w:r>
        <w:rPr>
          <w:sz w:val="21"/>
        </w:rPr>
        <w:t xml:space="preserve">in the number.</w:t>
      </w:r>
    </w:p>
    <w:p>
      <w:pPr>
        <w:pStyle w:val="FirstParagraph"/>
        <w:keepNext/>
        <w:spacing w:before="240" w:after="80"/>
        <w:pBdr>
          <w:bottom w:val="single" w:sz="6" w:space="1" w:color="B4C6E7"/>
        </w:pBdr>
      </w:pPr>
      <w:r>
        <w:rPr>
          <w:bCs/>
          <w:b/>
          <w:color w:val="1F3864"/>
          <w:sz w:val="25"/>
        </w:rPr>
        <w:t xml:space="preserve">3. Allegations, issue by issue</w:t>
      </w:r>
    </w:p>
    <w:p>
      <w:pPr>
        <w:pStyle w:val="BodyText"/>
        <w:spacing w:before="0" w:after="120" w:line="269" w:lineRule="auto"/>
        <w:jc w:val="both"/>
      </w:pPr>
      <w:r>
        <w:t xml:space="preserve">3.0 The facts found, the evidence and the provisions breached are set out separately for each issue. Every document referred to as</w:t>
      </w:r>
      <w:r>
        <w:t xml:space="preserve"> </w:t>
      </w:r>
      <w:r>
        <w:t xml:space="preserve">“</w:t>
      </w:r>
      <w:r>
        <w:t xml:space="preserve">RUD-n</w:t>
      </w:r>
      <w:r>
        <w:t xml:space="preserve">”</w:t>
      </w:r>
      <w:r>
        <w:t xml:space="preserve"> </w:t>
      </w:r>
      <w:r>
        <w:t xml:space="preserve">is listed in Annexure B and enclosed.</w:t>
      </w:r>
    </w:p>
    <w:p>
      <w:pPr>
        <w:pStyle w:val="BlockText"/>
        <w:shd w:val="clear" w:color="auto" w:fill="E7E6E6"/>
      </w:pPr>
      <w:r>
        <w:rPr>
          <w:bCs/>
          <w:b/>
          <w:sz w:val="21"/>
        </w:rPr>
        <w:t xml:space="preserve">Drafting note (Part 3).</w:t>
      </w:r>
      <w:r>
        <w:rPr>
          <w:sz w:val="21"/>
        </w:rPr>
        <w:t xml:space="preserve"> </w:t>
      </w:r>
      <w:r>
        <w:rPr>
          <w:sz w:val="21"/>
        </w:rPr>
        <w:t xml:space="preserve">State the grounds in the body of the notice: the facts, period, figures and provision for each issue. Do not leave them in an annexed letter, audit report or DGGI/State intimation. The Telangana HC set aside a notice whose facts were only in an annexed internal letter: the reasons must be in the notice itself, and reasons supplied later in the order cannot cure a cryptic notice (</w:t>
      </w:r>
      <w:r>
        <w:rPr>
          <w:iCs/>
          <w:i/>
          <w:sz w:val="21"/>
        </w:rPr>
        <w:t xml:space="preserve">A1 Adil Traders v. Deputy State Tax Officer</w:t>
      </w:r>
      <w:r>
        <w:rPr>
          <w:sz w:val="21"/>
        </w:rPr>
        <w:t xml:space="preserve">, W.P. No. 4539 of 2025, 04.03.2025, binding in Telangana). Annexures support the body; they do not replace it.</w:t>
      </w:r>
    </w:p>
    <w:p>
      <w:pPr>
        <w:pStyle w:val="FirstParagraph"/>
        <w:keepNext/>
        <w:spacing w:before="240" w:after="80"/>
        <w:pBdr>
          <w:bottom w:val="single" w:sz="6" w:space="1" w:color="B4C6E7"/>
        </w:pBdr>
      </w:pPr>
      <w:r>
        <w:rPr>
          <w:bCs/>
          <w:b/>
          <w:color w:val="1F3864"/>
          <w:sz w:val="25"/>
        </w:rPr>
        <w:t xml:space="preserve">3.1 Issue 1: [short title, e.g. </w:t>
      </w:r>
      <w:r>
        <w:rPr>
          <w:bCs/>
          <w:b/>
          <w:color w:val="1F3864"/>
          <w:sz w:val="25"/>
        </w:rPr>
        <w:t xml:space="preserve">“</w:t>
      </w:r>
      <w:r>
        <w:rPr>
          <w:bCs/>
          <w:b/>
          <w:color w:val="1F3864"/>
          <w:sz w:val="25"/>
        </w:rPr>
        <w:t xml:space="preserve">Input tax credit availed in excess of GSTR-2B</w:t>
      </w:r>
      <w:r>
        <w:rPr>
          <w:bCs/>
          <w:b/>
          <w:color w:val="1F3864"/>
          <w:sz w:val="25"/>
        </w:rPr>
        <w:t xml:space="preserve">”</w:t>
      </w:r>
      <w:r>
        <w:rPr>
          <w:bCs/>
          <w:b/>
          <w:color w:val="1F3864"/>
          <w:sz w:val="25"/>
        </w:rPr>
        <w:t xml:space="preserve">]</w:t>
      </w:r>
    </w:p>
    <w:p>
      <w:pPr>
        <w:pStyle w:val="BodyText"/>
        <w:spacing w:before="0" w:after="120" w:line="269" w:lineRule="auto"/>
        <w:jc w:val="both"/>
      </w:pPr>
      <w:r>
        <w:t xml:space="preserve">[Paste A2 module [ ]: (a) facts found; (b) provisions breached; (c) evidence (RUD numbers); (d) computation table; (e) the reply to DRC-01A / ASMT-10 / audit observation on this issue and why it is not accepted; (f) conclusion: the amount proposed and the provision.]</w:t>
      </w:r>
    </w:p>
    <w:p>
      <w:pPr>
        <w:pStyle w:val="BodyText"/>
        <w:keepNext/>
        <w:spacing w:before="240" w:after="80"/>
        <w:pBdr>
          <w:bottom w:val="single" w:sz="6" w:space="1" w:color="B4C6E7"/>
        </w:pBdr>
      </w:pPr>
      <w:r>
        <w:rPr>
          <w:bCs/>
          <w:b/>
          <w:color w:val="1F3864"/>
          <w:sz w:val="25"/>
        </w:rPr>
        <w:t xml:space="preserve">3.2 Issue 2: [short title]</w:t>
      </w:r>
    </w:p>
    <w:p>
      <w:pPr>
        <w:pStyle w:val="BodyText"/>
        <w:spacing w:before="0" w:after="120" w:line="269" w:lineRule="auto"/>
      </w:pPr>
      <w:r>
        <w:t xml:space="preserve">[Paste A2 module [ ].]</w:t>
      </w:r>
    </w:p>
    <w:p>
      <w:pPr>
        <w:pStyle w:val="BlockText"/>
        <w:shd w:val="clear" w:color="auto" w:fill="E7E6E6"/>
      </w:pPr>
      <w:r>
        <w:rPr>
          <w:bCs/>
          <w:b/>
          <w:sz w:val="21"/>
        </w:rPr>
        <w:t xml:space="preserve">Drafting note (Part 3).</w:t>
      </w:r>
      <w:r>
        <w:rPr>
          <w:sz w:val="21"/>
        </w:rPr>
        <w:t xml:space="preserve"> </w:t>
      </w:r>
      <w:r>
        <w:rPr>
          <w:sz w:val="21"/>
        </w:rPr>
        <w:t xml:space="preserve">Test each issue: could the noticee reply point by point without asking you anything? Each issue needs (1) the facts and how they were found, (2) the provision down to the clause, (3) the period, (4) the table of invoices, suppliers or figures, and (5) the documents. Where the figure differs from the ASMT-10, DRC-01A or audit figure, explain why. Where two grounds are alternatives (e.g. section 16(4), failing which section 16(2)(aa)), use para 10.6.</w:t>
      </w:r>
    </w:p>
    <w:p>
      <w:pPr>
        <w:pStyle w:val="FirstParagraph"/>
        <w:keepNext/>
        <w:spacing w:before="240" w:after="80"/>
        <w:pBdr>
          <w:bottom w:val="single" w:sz="6" w:space="1" w:color="B4C6E7"/>
        </w:pBdr>
      </w:pPr>
      <w:r>
        <w:rPr>
          <w:bCs/>
          <w:b/>
          <w:color w:val="1F3864"/>
          <w:sz w:val="25"/>
        </w:rPr>
        <w:t xml:space="preserve">4. Limitation</w:t>
      </w:r>
    </w:p>
    <w:p>
      <w:pPr>
        <w:pStyle w:val="BodyText"/>
        <w:spacing w:before="0" w:after="120" w:line="269" w:lineRule="auto"/>
      </w:pPr>
      <w:r>
        <w:t xml:space="preserve">4.1 The time limit is worked out below for the financial year of this notice.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636"/>
        <w:gridCol w:w="5676"/>
        <w:gridCol w:w="1326"/>
      </w:tblGrid>
      <w:tr>
        <w:trPr>
          <w:tblHeader w:val="true"/>
          <w:tblHeader/>
        </w:trPr>
        <w:tc>
          <w:tcPr>
            <w:tcW w:type="dxa" w:w="2636"/>
            <w:shd w:val="clear" w:color="auto" w:fill="DCE6F1"/>
          </w:tcPr>
          <w:p>
            <w:pPr>
              <w:pStyle w:val="Compact"/>
              <w:spacing w:before="0" w:after="0" w:line="240" w:lineRule="auto"/>
              <w:jc w:val="left"/>
            </w:pPr>
            <w:r>
              <w:rPr>
                <w:b/>
                <w:color w:val="1F3864"/>
                <w:sz w:val="21"/>
              </w:rPr>
              <w:t xml:space="preserve">Item</w:t>
            </w:r>
          </w:p>
        </w:tc>
        <w:tc>
          <w:tcPr>
            <w:tcW w:type="dxa" w:w="5676"/>
            <w:shd w:val="clear" w:color="auto" w:fill="DCE6F1"/>
          </w:tcPr>
          <w:p>
            <w:pPr>
              <w:pStyle w:val="Compact"/>
              <w:spacing w:before="0" w:after="0" w:line="240" w:lineRule="auto"/>
              <w:jc w:val="left"/>
            </w:pPr>
            <w:r>
              <w:rPr>
                <w:b/>
                <w:color w:val="1F3864"/>
                <w:sz w:val="21"/>
              </w:rPr>
              <w:t xml:space="preserve">Date</w:t>
            </w:r>
          </w:p>
        </w:tc>
        <w:tc>
          <w:tcPr>
            <w:tcW w:type="dxa" w:w="1326"/>
            <w:shd w:val="clear" w:color="auto" w:fill="DCE6F1"/>
          </w:tcPr>
          <w:p>
            <w:pPr>
              <w:pStyle w:val="Compact"/>
              <w:spacing w:before="0" w:after="0" w:line="240" w:lineRule="auto"/>
              <w:jc w:val="left"/>
            </w:pPr>
            <w:r>
              <w:rPr>
                <w:b/>
                <w:color w:val="1F3864"/>
                <w:sz w:val="21"/>
              </w:rPr>
              <w:t xml:space="preserve">Provision</w:t>
            </w:r>
          </w:p>
        </w:tc>
      </w:tr>
      <w:tr>
        <w:tc>
          <w:tcPr>
            <w:tcW w:type="dxa" w:w="2636"/>
          </w:tcPr>
          <w:p>
            <w:pPr>
              <w:pStyle w:val="Compact"/>
              <w:spacing w:before="0" w:after="0" w:line="240" w:lineRule="auto"/>
              <w:jc w:val="left"/>
            </w:pPr>
            <w:r>
              <w:rPr>
                <w:sz w:val="21"/>
              </w:rPr>
              <w:t xml:space="preserve">Financial year</w:t>
            </w:r>
          </w:p>
        </w:tc>
        <w:tc>
          <w:tcPr>
            <w:tcW w:type="dxa" w:w="5676"/>
          </w:tcPr>
          <w:p>
            <w:pPr>
              <w:pStyle w:val="Compact"/>
              <w:spacing w:before="0" w:after="0" w:line="240" w:lineRule="auto"/>
              <w:jc w:val="left"/>
            </w:pPr>
            <w:r>
              <w:rPr>
                <w:sz w:val="21"/>
              </w:rPr>
              <w:t xml:space="preserve">[YYYY-YY]</w:t>
            </w:r>
          </w:p>
        </w:tc>
        <w:tc>
          <w:tcPr>
            <w:tcW w:type="dxa" w:w="1326"/>
          </w:tcPr>
          <w:p>
            <w:pPr>
              <w:pStyle w:val="Compact"/>
              <w:spacing w:before="0" w:after="0" w:line="240" w:lineRule="auto"/>
              <w:jc w:val="left"/>
            </w:pPr>
            <w:r>
              <w:rPr>
                <w:sz w:val="21"/>
              </w:rPr>
              <w:t xml:space="preserve">—</w:t>
            </w:r>
          </w:p>
        </w:tc>
      </w:tr>
      <w:tr>
        <w:tc>
          <w:tcPr>
            <w:tcW w:type="dxa" w:w="2636"/>
          </w:tcPr>
          <w:p>
            <w:pPr>
              <w:pStyle w:val="Compact"/>
              <w:spacing w:before="0" w:after="0" w:line="240" w:lineRule="auto"/>
              <w:jc w:val="left"/>
            </w:pPr>
            <w:r>
              <w:rPr>
                <w:sz w:val="21"/>
              </w:rPr>
              <w:t xml:space="preserve">Due date for the annual return for that year</w:t>
            </w:r>
          </w:p>
        </w:tc>
        <w:tc>
          <w:tcPr>
            <w:tcW w:type="dxa" w:w="5676"/>
          </w:tcPr>
          <w:p>
            <w:pPr>
              <w:pStyle w:val="Compact"/>
              <w:spacing w:before="0" w:after="0" w:line="240" w:lineRule="auto"/>
              <w:jc w:val="left"/>
            </w:pPr>
            <w:r>
              <w:rPr>
                <w:sz w:val="21"/>
              </w:rPr>
              <w:t xml:space="preserve">[DD.MM.YYYY] [(31 December following the year: rule 80(1)) / (28.02.2022 for FY 2020-21: rule 80(1A))] [(as extended by Notification No. [ ])]</w:t>
            </w:r>
          </w:p>
        </w:tc>
        <w:tc>
          <w:tcPr>
            <w:tcW w:type="dxa" w:w="1326"/>
          </w:tcPr>
          <w:p>
            <w:pPr>
              <w:pStyle w:val="Compact"/>
              <w:spacing w:before="0" w:after="0" w:line="240" w:lineRule="auto"/>
              <w:jc w:val="left"/>
            </w:pPr>
            <w:r>
              <w:rPr>
                <w:sz w:val="21"/>
              </w:rPr>
              <w:t xml:space="preserve">Section 44; rule 80</w:t>
            </w:r>
          </w:p>
        </w:tc>
      </w:tr>
      <w:tr>
        <w:tc>
          <w:tcPr>
            <w:tcW w:type="dxa" w:w="2636"/>
          </w:tcPr>
          <w:p>
            <w:pPr>
              <w:pStyle w:val="Compact"/>
              <w:spacing w:before="0" w:after="0" w:line="240" w:lineRule="auto"/>
              <w:jc w:val="left"/>
            </w:pPr>
            <w:r>
              <w:rPr>
                <w:sz w:val="21"/>
              </w:rPr>
              <w:t xml:space="preserve">[S.73] Last date for the order</w:t>
            </w:r>
          </w:p>
        </w:tc>
        <w:tc>
          <w:tcPr>
            <w:tcW w:type="dxa" w:w="5676"/>
          </w:tcPr>
          <w:p>
            <w:pPr>
              <w:pStyle w:val="Compact"/>
              <w:spacing w:before="0" w:after="0" w:line="240" w:lineRule="auto"/>
              <w:jc w:val="left"/>
            </w:pPr>
            <w:r>
              <w:rPr>
                <w:sz w:val="21"/>
              </w:rPr>
              <w:t xml:space="preserve">[DD.MM.YYYY] (three years from the due date)</w:t>
            </w:r>
          </w:p>
        </w:tc>
        <w:tc>
          <w:tcPr>
            <w:tcW w:type="dxa" w:w="1326"/>
          </w:tcPr>
          <w:p>
            <w:pPr>
              <w:pStyle w:val="Compact"/>
              <w:spacing w:before="0" w:after="0" w:line="240" w:lineRule="auto"/>
              <w:jc w:val="left"/>
            </w:pPr>
            <w:r>
              <w:rPr>
                <w:sz w:val="21"/>
              </w:rPr>
              <w:t xml:space="preserve">Section 73(10)</w:t>
            </w:r>
          </w:p>
        </w:tc>
      </w:tr>
      <w:tr>
        <w:tc>
          <w:tcPr>
            <w:tcW w:type="dxa" w:w="2636"/>
          </w:tcPr>
          <w:p>
            <w:pPr>
              <w:pStyle w:val="Compact"/>
              <w:spacing w:before="0" w:after="0" w:line="240" w:lineRule="auto"/>
              <w:jc w:val="left"/>
            </w:pPr>
            <w:r>
              <w:rPr>
                <w:sz w:val="21"/>
              </w:rPr>
              <w:t xml:space="preserve">[S.73] Last date for this notice</w:t>
            </w:r>
          </w:p>
        </w:tc>
        <w:tc>
          <w:tcPr>
            <w:tcW w:type="dxa" w:w="5676"/>
          </w:tcPr>
          <w:p>
            <w:pPr>
              <w:pStyle w:val="Compact"/>
              <w:spacing w:before="0" w:after="0" w:line="240" w:lineRule="auto"/>
              <w:jc w:val="left"/>
            </w:pPr>
            <w:r>
              <w:rPr>
                <w:sz w:val="21"/>
              </w:rPr>
              <w:t xml:space="preserve">[DD.MM.YYYY] (at least three months before the last date for the order)</w:t>
            </w:r>
          </w:p>
        </w:tc>
        <w:tc>
          <w:tcPr>
            <w:tcW w:type="dxa" w:w="1326"/>
          </w:tcPr>
          <w:p>
            <w:pPr>
              <w:pStyle w:val="Compact"/>
              <w:spacing w:before="0" w:after="0" w:line="240" w:lineRule="auto"/>
              <w:jc w:val="left"/>
            </w:pPr>
            <w:r>
              <w:rPr>
                <w:sz w:val="21"/>
              </w:rPr>
              <w:t xml:space="preserve">Section 73(2)</w:t>
            </w:r>
          </w:p>
        </w:tc>
      </w:tr>
      <w:tr>
        <w:tc>
          <w:tcPr>
            <w:tcW w:type="dxa" w:w="2636"/>
          </w:tcPr>
          <w:p>
            <w:pPr>
              <w:pStyle w:val="Compact"/>
              <w:spacing w:before="0" w:after="0" w:line="240" w:lineRule="auto"/>
              <w:jc w:val="left"/>
            </w:pPr>
            <w:r>
              <w:rPr>
                <w:sz w:val="21"/>
              </w:rPr>
              <w:t xml:space="preserve">[S.74] Last date for the order</w:t>
            </w:r>
          </w:p>
        </w:tc>
        <w:tc>
          <w:tcPr>
            <w:tcW w:type="dxa" w:w="5676"/>
          </w:tcPr>
          <w:p>
            <w:pPr>
              <w:pStyle w:val="Compact"/>
              <w:spacing w:before="0" w:after="0" w:line="240" w:lineRule="auto"/>
              <w:jc w:val="left"/>
            </w:pPr>
            <w:r>
              <w:rPr>
                <w:sz w:val="21"/>
              </w:rPr>
              <w:t xml:space="preserve">[DD.MM.YYYY] (five years from the due date)</w:t>
            </w:r>
          </w:p>
        </w:tc>
        <w:tc>
          <w:tcPr>
            <w:tcW w:type="dxa" w:w="1326"/>
          </w:tcPr>
          <w:p>
            <w:pPr>
              <w:pStyle w:val="Compact"/>
              <w:spacing w:before="0" w:after="0" w:line="240" w:lineRule="auto"/>
              <w:jc w:val="left"/>
            </w:pPr>
            <w:r>
              <w:rPr>
                <w:sz w:val="21"/>
              </w:rPr>
              <w:t xml:space="preserve">Section 74(10)</w:t>
            </w:r>
          </w:p>
        </w:tc>
      </w:tr>
      <w:tr>
        <w:tc>
          <w:tcPr>
            <w:tcW w:type="dxa" w:w="2636"/>
          </w:tcPr>
          <w:p>
            <w:pPr>
              <w:pStyle w:val="Compact"/>
              <w:spacing w:before="0" w:after="0" w:line="240" w:lineRule="auto"/>
              <w:jc w:val="left"/>
            </w:pPr>
            <w:r>
              <w:rPr>
                <w:sz w:val="21"/>
              </w:rPr>
              <w:t xml:space="preserve">[S.74] Last date for this notice</w:t>
            </w:r>
          </w:p>
        </w:tc>
        <w:tc>
          <w:tcPr>
            <w:tcW w:type="dxa" w:w="5676"/>
          </w:tcPr>
          <w:p>
            <w:pPr>
              <w:pStyle w:val="Compact"/>
              <w:spacing w:before="0" w:after="0" w:line="240" w:lineRule="auto"/>
              <w:jc w:val="left"/>
            </w:pPr>
            <w:r>
              <w:rPr>
                <w:sz w:val="21"/>
              </w:rPr>
              <w:t xml:space="preserve">[DD.MM.YYYY] (at least six months before the last date for the order)</w:t>
            </w:r>
          </w:p>
        </w:tc>
        <w:tc>
          <w:tcPr>
            <w:tcW w:type="dxa" w:w="1326"/>
          </w:tcPr>
          <w:p>
            <w:pPr>
              <w:pStyle w:val="Compact"/>
              <w:spacing w:before="0" w:after="0" w:line="240" w:lineRule="auto"/>
              <w:jc w:val="left"/>
            </w:pPr>
            <w:r>
              <w:rPr>
                <w:sz w:val="21"/>
              </w:rPr>
              <w:t xml:space="preserve">Section 74(2)</w:t>
            </w:r>
          </w:p>
        </w:tc>
      </w:tr>
      <w:tr>
        <w:tc>
          <w:tcPr>
            <w:tcW w:type="dxa" w:w="2636"/>
          </w:tcPr>
          <w:p>
            <w:pPr>
              <w:pStyle w:val="Compact"/>
              <w:spacing w:before="0" w:after="0" w:line="240" w:lineRule="auto"/>
              <w:jc w:val="left"/>
            </w:pPr>
            <w:r>
              <w:rPr>
                <w:sz w:val="21"/>
              </w:rPr>
              <w:t xml:space="preserve">[S.74A] Last date for this notice</w:t>
            </w:r>
          </w:p>
        </w:tc>
        <w:tc>
          <w:tcPr>
            <w:tcW w:type="dxa" w:w="5676"/>
          </w:tcPr>
          <w:p>
            <w:pPr>
              <w:pStyle w:val="Compact"/>
              <w:spacing w:before="0" w:after="0" w:line="240" w:lineRule="auto"/>
              <w:jc w:val="left"/>
            </w:pPr>
            <w:r>
              <w:rPr>
                <w:sz w:val="21"/>
              </w:rPr>
              <w:t xml:space="preserve">[DD.MM.YYYY] (forty-two months from the due date)</w:t>
            </w:r>
          </w:p>
        </w:tc>
        <w:tc>
          <w:tcPr>
            <w:tcW w:type="dxa" w:w="1326"/>
          </w:tcPr>
          <w:p>
            <w:pPr>
              <w:pStyle w:val="Compact"/>
              <w:spacing w:before="0" w:after="0" w:line="240" w:lineRule="auto"/>
              <w:jc w:val="left"/>
            </w:pPr>
            <w:r>
              <w:rPr>
                <w:sz w:val="21"/>
              </w:rPr>
              <w:t xml:space="preserve">Section 74A(2)</w:t>
            </w:r>
          </w:p>
        </w:tc>
      </w:tr>
      <w:tr>
        <w:tc>
          <w:tcPr>
            <w:tcW w:type="dxa" w:w="2636"/>
          </w:tcPr>
          <w:p>
            <w:pPr>
              <w:pStyle w:val="Compact"/>
              <w:spacing w:before="0" w:after="0" w:line="240" w:lineRule="auto"/>
              <w:jc w:val="left"/>
            </w:pPr>
            <w:r>
              <w:rPr>
                <w:sz w:val="21"/>
              </w:rPr>
              <w:t xml:space="preserve">[S.74A] Last date for the order</w:t>
            </w:r>
          </w:p>
        </w:tc>
        <w:tc>
          <w:tcPr>
            <w:tcW w:type="dxa" w:w="5676"/>
          </w:tcPr>
          <w:p>
            <w:pPr>
              <w:pStyle w:val="Compact"/>
              <w:spacing w:before="0" w:after="0" w:line="240" w:lineRule="auto"/>
              <w:jc w:val="left"/>
            </w:pPr>
            <w:r>
              <w:rPr>
                <w:sz w:val="21"/>
              </w:rPr>
              <w:t xml:space="preserve">[DD.MM.YYYY] (twelve months from the date of this notice; extendable by up to six months only by an order recorded before that date)</w:t>
            </w:r>
          </w:p>
        </w:tc>
        <w:tc>
          <w:tcPr>
            <w:tcW w:type="dxa" w:w="1326"/>
          </w:tcPr>
          <w:p>
            <w:pPr>
              <w:pStyle w:val="Compact"/>
              <w:spacing w:before="0" w:after="0" w:line="240" w:lineRule="auto"/>
              <w:jc w:val="left"/>
            </w:pPr>
            <w:r>
              <w:rPr>
                <w:sz w:val="21"/>
              </w:rPr>
              <w:t xml:space="preserve">Section 74A(7)</w:t>
            </w:r>
          </w:p>
        </w:tc>
      </w:tr>
      <w:tr>
        <w:tc>
          <w:tcPr>
            <w:tcW w:type="dxa" w:w="2636"/>
          </w:tcPr>
          <w:p>
            <w:pPr>
              <w:pStyle w:val="Compact"/>
              <w:spacing w:before="0" w:after="0" w:line="240" w:lineRule="auto"/>
              <w:jc w:val="left"/>
            </w:pPr>
            <w:r>
              <w:rPr>
                <w:sz w:val="21"/>
              </w:rPr>
              <w:t xml:space="preserve">[Erroneous refund] Date of the refund</w:t>
            </w:r>
          </w:p>
        </w:tc>
        <w:tc>
          <w:tcPr>
            <w:tcW w:type="dxa" w:w="5676"/>
          </w:tcPr>
          <w:p>
            <w:pPr>
              <w:pStyle w:val="Compact"/>
              <w:spacing w:before="0" w:after="0" w:line="240" w:lineRule="auto"/>
              <w:jc w:val="left"/>
            </w:pPr>
            <w:r>
              <w:rPr>
                <w:sz w:val="21"/>
              </w:rPr>
              <w:t xml:space="preserve">[DD.MM.YYYY]; time runs from this date</w:t>
            </w:r>
          </w:p>
        </w:tc>
        <w:tc>
          <w:tcPr>
            <w:tcW w:type="dxa" w:w="1326"/>
          </w:tcPr>
          <w:p>
            <w:pPr>
              <w:pStyle w:val="Compact"/>
              <w:spacing w:before="0" w:after="0" w:line="240" w:lineRule="auto"/>
              <w:jc w:val="left"/>
            </w:pPr>
            <w:r>
              <w:rPr>
                <w:sz w:val="21"/>
              </w:rPr>
              <w:t xml:space="preserve">Sections 73(10), 74(10), 74A(2)</w:t>
            </w:r>
          </w:p>
        </w:tc>
      </w:tr>
      <w:tr>
        <w:tc>
          <w:tcPr>
            <w:tcW w:type="dxa" w:w="2636"/>
          </w:tcPr>
          <w:p>
            <w:pPr>
              <w:pStyle w:val="Compact"/>
              <w:spacing w:before="0" w:after="0" w:line="240" w:lineRule="auto"/>
              <w:jc w:val="left"/>
            </w:pPr>
            <w:r>
              <w:rPr>
                <w:sz w:val="21"/>
              </w:rPr>
              <w:t xml:space="preserve">Date of this notice</w:t>
            </w:r>
          </w:p>
        </w:tc>
        <w:tc>
          <w:tcPr>
            <w:tcW w:type="dxa" w:w="5676"/>
          </w:tcPr>
          <w:p>
            <w:pPr>
              <w:pStyle w:val="Compact"/>
              <w:spacing w:before="0" w:after="0" w:line="240" w:lineRule="auto"/>
              <w:jc w:val="left"/>
            </w:pPr>
            <w:r>
              <w:rPr>
                <w:sz w:val="21"/>
              </w:rPr>
              <w:t xml:space="preserve">[DD.MM.YYYY]; [ ] days before the last date for the notice</w:t>
            </w:r>
          </w:p>
        </w:tc>
        <w:tc>
          <w:tcPr>
            <w:tcW w:type="dxa" w:w="1326"/>
          </w:tcPr>
          <w:p>
            <w:pPr>
              <w:pStyle w:val="Compact"/>
              <w:spacing w:before="0" w:after="0" w:line="240" w:lineRule="auto"/>
              <w:jc w:val="left"/>
            </w:pPr>
            <w:r>
              <w:rPr>
                <w:sz w:val="21"/>
              </w:rPr>
              <w:t xml:space="preserve">—</w:t>
            </w:r>
          </w:p>
        </w:tc>
      </w:tr>
    </w:tbl>
    <w:p>
      <w:pPr>
        <w:pStyle w:val="BodyText"/>
        <w:spacing w:before="0" w:after="120" w:line="269" w:lineRule="auto"/>
      </w:pPr>
      <w:r>
        <w:t xml:space="preserve">4.2 This notice is therefore issued within the time limit in section [73(2)] [74(2)] [74A(2)].</w:t>
      </w:r>
    </w:p>
    <w:p>
      <w:pPr>
        <w:pStyle w:val="BodyText"/>
        <w:spacing w:before="0" w:after="120" w:line="269" w:lineRule="auto"/>
        <w:jc w:val="both"/>
      </w:pPr>
      <w:r>
        <w:t xml:space="preserve">4.3 [Only where an extended date is relied on.] The time limit for [the order under section 73(10) for FY [2017-18 / 2018-19 / 2019-20]] stands extended to [DD.MM.YYYY] by Notification No. [13/2022 / 09/2023 / 56/2023]-Central Tax dated [ ], issued under section 168A. The Hon’ble High Court of Telangana declined to interfere in the challenge to those notifications (</w:t>
      </w:r>
      <w:r>
        <w:rPr>
          <w:iCs/>
          <w:i/>
        </w:rPr>
        <w:t xml:space="preserve">Brunda Infra Pvt. Ltd. v. Additional Commissioner of Central Tax</w:t>
      </w:r>
      <w:r>
        <w:t xml:space="preserve">, W.P. No. 1154 of 2024 &amp; batch, 02.01.2025). Their validity is pending before the Hon’ble Supreme Court in SLP (C) No. 4240 of 2025; these proceedings are subject to its outcome. [For an erroneous refund, Notification No. 13/2022-Central Tax excludes 01.03.2020 to 28.02.2022 in computing the section 73(10) period.] [Any period excluded under section 75(1) (stay by a court) or section 75(11) is: [ ], because [ ].]</w:t>
      </w:r>
    </w:p>
    <w:p>
      <w:pPr>
        <w:pStyle w:val="BlockText"/>
        <w:shd w:val="clear" w:color="auto" w:fill="E7E6E6"/>
      </w:pPr>
      <w:r>
        <w:rPr>
          <w:bCs/>
          <w:b/>
          <w:sz w:val="21"/>
        </w:rPr>
        <w:t xml:space="preserve">Drafting note (Part 4).</w:t>
      </w:r>
      <w:r>
        <w:rPr>
          <w:sz w:val="21"/>
        </w:rPr>
        <w:t xml:space="preserve"> </w:t>
      </w:r>
      <w:r>
        <w:rPr>
          <w:sz w:val="21"/>
        </w:rPr>
        <w:t xml:space="preserve">The tax period decides the financial year, not the date of payment or detection. Count months exactly (</w:t>
      </w:r>
      <w:r>
        <w:rPr>
          <w:sz w:val="21"/>
        </w:rPr>
        <w:t xml:space="preserve">“</w:t>
      </w:r>
      <w:r>
        <w:rPr>
          <w:sz w:val="21"/>
        </w:rPr>
        <w:t xml:space="preserve">at least three months prior</w:t>
      </w:r>
      <w:r>
        <w:rPr>
          <w:sz w:val="21"/>
        </w:rPr>
        <w:t xml:space="preserve">”</w:t>
      </w:r>
      <w:r>
        <w:rPr>
          <w:sz w:val="21"/>
        </w:rPr>
        <w:t xml:space="preserve"> </w:t>
      </w:r>
      <w:r>
        <w:rPr>
          <w:sz w:val="21"/>
        </w:rPr>
        <w:t xml:space="preserve">to 31.12.2026 means on or before 30.09.2026). Office rule: send an s.73 or s.74 notice at least one month before its last date, so a corrigendum is still possible. Under section 75(10), proceedings are deemed concluded if the order is not issued in time; diarise the order date the day the notice issues. In an s.74 case, prefer to issue the notice within the s.73 time limit as well (two years and nine months from the annual-return due date), so that the demand can still be re-determined under section 73 if fraud is not upheld (section 75(2); Circular No. 185/17/2022-GST). For s.74A, no notice is issued where the tax for the year is less than ₹1,000 (proviso to section 74A(1)). Before relying on an extended date, check the Supreme Court’s status in SLP (C) 4240/2025. Never write that the Telangana HC upheld these notifications: in</w:t>
      </w:r>
      <w:r>
        <w:rPr>
          <w:sz w:val="21"/>
        </w:rPr>
        <w:t xml:space="preserve"> </w:t>
      </w:r>
      <w:r>
        <w:rPr>
          <w:iCs/>
          <w:i/>
          <w:sz w:val="21"/>
        </w:rPr>
        <w:t xml:space="preserve">Brunda Infra</w:t>
      </w:r>
      <w:r>
        <w:rPr>
          <w:sz w:val="21"/>
        </w:rPr>
        <w:t xml:space="preserve"> </w:t>
      </w:r>
      <w:r>
        <w:rPr>
          <w:sz w:val="21"/>
        </w:rPr>
        <w:t xml:space="preserve">it observed that a GST Council recommendation is a sine qua non and that ratification cannot cure its absence (paras 94-97), but decided the cases on the Supreme Court’s Covid exclusion (15.03.2020 to 28.02.2022), so their validity was left academic. Where possible, rely on the un-extended date or the Covid exclusion instead.</w:t>
      </w:r>
    </w:p>
    <w:p>
      <w:pPr>
        <w:pStyle w:val="FirstParagraph"/>
        <w:spacing w:before="0" w:after="120" w:line="269" w:lineRule="auto"/>
        <w:jc w:val="both"/>
      </w:pPr>
      <w:r>
        <w:rPr>
          <w:bCs/>
          <w:b/>
        </w:rPr>
        <w:t xml:space="preserve">5. Grounds for invoking [section 74(1)] [the penalty under section 74A(5)(ii)]</w:t>
      </w:r>
      <w:r>
        <w:t xml:space="preserve"> </w:t>
      </w:r>
      <w:r>
        <w:t xml:space="preserve">[Keep only for</w:t>
      </w:r>
      <w:r>
        <w:t xml:space="preserve"> </w:t>
      </w:r>
      <w:r>
        <w:rPr>
          <w:bCs/>
          <w:b/>
        </w:rPr>
        <w:t xml:space="preserve">[S.74]</w:t>
      </w:r>
      <w:r>
        <w:t xml:space="preserve"> </w:t>
      </w:r>
      <w:r>
        <w:t xml:space="preserve">and</w:t>
      </w:r>
      <w:r>
        <w:t xml:space="preserve"> </w:t>
      </w:r>
      <w:r>
        <w:rPr>
          <w:bCs/>
          <w:b/>
        </w:rPr>
        <w:t xml:space="preserve">[S.74A(ii)]</w:t>
      </w:r>
      <w:r>
        <w:t xml:space="preserve">; otherwise delete this Part and renumber.]</w:t>
      </w:r>
    </w:p>
    <w:p>
      <w:pPr>
        <w:pStyle w:val="BodyText"/>
        <w:spacing w:before="0" w:after="120" w:line="269" w:lineRule="auto"/>
        <w:jc w:val="both"/>
      </w:pPr>
      <w:r>
        <w:t xml:space="preserve">5.1</w:t>
      </w:r>
      <w:r>
        <w:t xml:space="preserve"> </w:t>
      </w:r>
      <w:r>
        <w:rPr>
          <w:bCs/>
          <w:b/>
        </w:rPr>
        <w:t xml:space="preserve">The ground.</w:t>
      </w:r>
      <w:r>
        <w:t xml:space="preserve"> </w:t>
      </w:r>
      <w:r>
        <w:t xml:space="preserve">The [tax was short paid] / [input tax credit was wrongly availed and utilised] by reason of</w:t>
      </w:r>
      <w:r>
        <w:t xml:space="preserve"> </w:t>
      </w:r>
      <w:r>
        <w:rPr>
          <w:bCs/>
          <w:b/>
        </w:rPr>
        <w:t xml:space="preserve">[fraud] / [wilful misstatement] / [suppression of facts]</w:t>
      </w:r>
      <w:r>
        <w:t xml:space="preserve"> </w:t>
      </w:r>
      <w:r>
        <w:t xml:space="preserve">to evade tax. [Choose one. Do not write</w:t>
      </w:r>
      <w:r>
        <w:t xml:space="preserve"> </w:t>
      </w:r>
      <w:r>
        <w:t xml:space="preserve">“</w:t>
      </w:r>
      <w:r>
        <w:t xml:space="preserve">fraud or wilful misstatement or suppression</w:t>
      </w:r>
      <w:r>
        <w:t xml:space="preserve">”</w:t>
      </w:r>
      <w:r>
        <w:t xml:space="preserve">.]</w:t>
      </w:r>
    </w:p>
    <w:p>
      <w:pPr>
        <w:pStyle w:val="BodyText"/>
        <w:spacing w:before="0" w:after="120" w:line="269" w:lineRule="auto"/>
        <w:jc w:val="both"/>
      </w:pPr>
      <w:r>
        <w:t xml:space="preserve">5.2</w:t>
      </w:r>
      <w:r>
        <w:t xml:space="preserve"> </w:t>
      </w:r>
      <w:r>
        <w:rPr>
          <w:bCs/>
          <w:b/>
        </w:rPr>
        <w:t xml:space="preserve">The act or omission.</w:t>
      </w:r>
      <w:r>
        <w:t xml:space="preserve"> </w:t>
      </w:r>
      <w:r>
        <w:t xml:space="preserve">[State exactly what was done or not declared, in which return or document, for which period, and on what date. Example:</w:t>
      </w:r>
      <w:r>
        <w:t xml:space="preserve"> </w:t>
      </w:r>
      <w:r>
        <w:t xml:space="preserve">“</w:t>
      </w:r>
      <w:r>
        <w:t xml:space="preserve">The noticee declared outward taxable value of ₹[x] in GSTR-1 and GSTR-3B for [months] (RUD-3). Its e-way bills for the same months show ₹[y] (RUD-4). The difference of ₹[y − x] was not declared in GSTR-1, GSTR-3B or GSTR-9 (RUD-5).</w:t>
      </w:r>
      <w:r>
        <w:t xml:space="preserve">”</w:t>
      </w:r>
      <w:r>
        <w:t xml:space="preserve"> </w:t>
      </w:r>
      <w:r>
        <w:t xml:space="preserve">For suppression, say which limb of Explanation 2 to section [74] [74A] applies: (a) non-declaration of facts or information required to be declared in [the return / statement / document], or (b) failure to furnish information asked for in writing by the proper officer by letter dated [ ] (RUD-[ ]).]</w:t>
      </w:r>
    </w:p>
    <w:p>
      <w:pPr>
        <w:pStyle w:val="BodyText"/>
        <w:spacing w:before="0" w:after="120" w:line="269" w:lineRule="auto"/>
        <w:jc w:val="both"/>
      </w:pPr>
      <w:r>
        <w:t xml:space="preserve">5.3</w:t>
      </w:r>
      <w:r>
        <w:t xml:space="preserve"> </w:t>
      </w:r>
      <w:r>
        <w:rPr>
          <w:bCs/>
          <w:b/>
        </w:rPr>
        <w:t xml:space="preserve">The evidence.</w:t>
      </w:r>
      <w:r>
        <w:t xml:space="preserve"> </w:t>
      </w:r>
      <w:r>
        <w:t xml:space="preserve">[List each fact with its RUD: statement of [designation] dated [ ] (RUD-[ ], Q.[ ]); inspection report dated [ ] (RUD-[ ]); [ ].]</w:t>
      </w:r>
    </w:p>
    <w:p>
      <w:pPr>
        <w:pStyle w:val="BodyText"/>
        <w:spacing w:before="0" w:after="120" w:line="269" w:lineRule="auto"/>
        <w:jc w:val="both"/>
      </w:pPr>
      <w:r>
        <w:t xml:space="preserve">5.4</w:t>
      </w:r>
      <w:r>
        <w:t xml:space="preserve"> </w:t>
      </w:r>
      <w:r>
        <w:rPr>
          <w:bCs/>
          <w:b/>
        </w:rPr>
        <w:t xml:space="preserve">Why this shows intent to evade tax, and not an error or a bona fide view.</w:t>
      </w:r>
      <w:r>
        <w:t xml:space="preserve"> </w:t>
      </w:r>
      <w:r>
        <w:t xml:space="preserve">[State the facts that show intent: repetition across [n] returns; omission of supplies already documented in the noticee’s own e-way bills; non-reply to written requisitions dated [ ] and [ ]; false documents; payments routed back; the admission in the statement. Say why it is not an interpretation dispute, a disclosed claim or a clerical mismatch.]</w:t>
      </w:r>
    </w:p>
    <w:p>
      <w:pPr>
        <w:pStyle w:val="BodyText"/>
        <w:spacing w:before="0" w:after="120" w:line="269" w:lineRule="auto"/>
        <w:jc w:val="both"/>
      </w:pPr>
      <w:r>
        <w:t xml:space="preserve">5.5 Each of these facts is asserted on the evidence listed. For these reasons, [section 74(1) is invoked] / [the penalty under section 74A(5)(ii) is proposed].</w:t>
      </w:r>
    </w:p>
    <w:p>
      <w:pPr>
        <w:pStyle w:val="BlockText"/>
        <w:shd w:val="clear" w:color="auto" w:fill="E7E6E6"/>
      </w:pPr>
      <w:r>
        <w:rPr>
          <w:bCs/>
          <w:b/>
          <w:sz w:val="21"/>
        </w:rPr>
        <w:t xml:space="preserve">Drafting note (Part 5).</w:t>
      </w:r>
      <w:r>
        <w:rPr>
          <w:sz w:val="21"/>
        </w:rPr>
        <w:t xml:space="preserve"> </w:t>
      </w:r>
      <w:r>
        <w:rPr>
          <w:sz w:val="21"/>
        </w:rPr>
        <w:t xml:space="preserve">The facts of fraud, wilful misstatement or suppression must be in the notice itself; they cannot be supplied later, and</w:t>
      </w:r>
      <w:r>
        <w:rPr>
          <w:sz w:val="21"/>
        </w:rPr>
        <w:t xml:space="preserve"> </w:t>
      </w:r>
      <w:r>
        <w:rPr>
          <w:sz w:val="21"/>
        </w:rPr>
        <w:t xml:space="preserve">“</w:t>
      </w:r>
      <w:r>
        <w:rPr>
          <w:sz w:val="21"/>
        </w:rPr>
        <w:t xml:space="preserve">fraud or suppression</w:t>
      </w:r>
      <w:r>
        <w:rPr>
          <w:sz w:val="21"/>
        </w:rPr>
        <w:t xml:space="preserve">”</w:t>
      </w:r>
      <w:r>
        <w:rPr>
          <w:sz w:val="21"/>
        </w:rPr>
        <w:t xml:space="preserve"> </w:t>
      </w:r>
      <w:r>
        <w:rPr>
          <w:sz w:val="21"/>
        </w:rPr>
        <w:t xml:space="preserve">written as a list shows the officer was unsure (</w:t>
      </w:r>
      <w:r>
        <w:rPr>
          <w:iCs/>
          <w:i/>
          <w:sz w:val="21"/>
        </w:rPr>
        <w:t xml:space="preserve">G.R. Infra Projects Ratlam v. State of M.P.</w:t>
      </w:r>
      <w:r>
        <w:rPr>
          <w:sz w:val="21"/>
        </w:rPr>
        <w:t xml:space="preserve">, Supreme Court, 19.08.2026, CA 11277/2026). A GSTR-1 / GSTR-3B mismatch alone does not justify section 74 (</w:t>
      </w:r>
      <w:r>
        <w:rPr>
          <w:iCs/>
          <w:i/>
          <w:sz w:val="21"/>
        </w:rPr>
        <w:t xml:space="preserve">Sterling &amp; Wilson</w:t>
      </w:r>
      <w:r>
        <w:rPr>
          <w:sz w:val="21"/>
        </w:rPr>
        <w:t xml:space="preserve">, GSTAT Principal Bench, 11.02.2026). Do not use this Part for a rate or classification dispute where the noticee disclosed the HSN and rate, for a blocked-credit claim shown in the return, for an issue under litigation, or for an arithmetical 2A/2B gap. Do not rely on another wing’s report unless you have verified it and enclose it. If you cannot fill paras 5.2 to 5.4 with facts, use [S.73] or [S.74A(i)]. For s.74A, fraud changes only the penalty and the payment option; the time limit is the same.</w:t>
      </w:r>
    </w:p>
    <w:p>
      <w:pPr>
        <w:pStyle w:val="FirstParagraph"/>
        <w:keepNext/>
        <w:spacing w:before="240" w:after="80"/>
        <w:pBdr>
          <w:bottom w:val="single" w:sz="6" w:space="1" w:color="B4C6E7"/>
        </w:pBdr>
      </w:pPr>
      <w:r>
        <w:rPr>
          <w:bCs/>
          <w:b/>
          <w:color w:val="1F3864"/>
          <w:sz w:val="25"/>
        </w:rPr>
        <w:t xml:space="preserve">6. Quantification</w:t>
      </w:r>
    </w:p>
    <w:p>
      <w:pPr>
        <w:pStyle w:val="BodyText"/>
        <w:spacing w:before="0" w:after="120" w:line="269" w:lineRule="auto"/>
        <w:jc w:val="both"/>
      </w:pPr>
      <w:r>
        <w:t xml:space="preserve">6.1</w:t>
      </w:r>
      <w:r>
        <w:t xml:space="preserve"> </w:t>
      </w:r>
      <w:r>
        <w:rPr>
          <w:bCs/>
          <w:b/>
        </w:rPr>
        <w:t xml:space="preserve">Method.</w:t>
      </w:r>
      <w:r>
        <w:t xml:space="preserve"> </w:t>
      </w:r>
      <w:r>
        <w:t xml:space="preserve">[State how each figure is worked out: the returns and tables compared, the invoices or e-way bills counted, the rate applied, the period, and any credit or adjustment given. Where actual figures are not available, state the basis of the estimate and the provision that permits it.]</w:t>
      </w:r>
    </w:p>
    <w:p>
      <w:pPr>
        <w:pStyle w:val="BodyText"/>
        <w:spacing w:before="0" w:after="120" w:line="269" w:lineRule="auto"/>
      </w:pPr>
      <w:r>
        <w:t xml:space="preserve">6.2</w:t>
      </w:r>
      <w:r>
        <w:t xml:space="preserve"> </w:t>
      </w:r>
      <w:r>
        <w:rPr>
          <w:bCs/>
          <w:b/>
        </w:rPr>
        <w:t xml:space="preserve">Issue-wise summary</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393"/>
        <w:gridCol w:w="1539"/>
        <w:gridCol w:w="1209"/>
        <w:gridCol w:w="1099"/>
        <w:gridCol w:w="1099"/>
        <w:gridCol w:w="1099"/>
        <w:gridCol w:w="1099"/>
        <w:gridCol w:w="1099"/>
      </w:tblGrid>
      <w:tr>
        <w:trPr>
          <w:tblHeader w:val="true"/>
          <w:tblHeader/>
        </w:trPr>
        <w:tc>
          <w:tcPr>
            <w:tcW w:type="dxa" w:w="1393"/>
            <w:shd w:val="clear" w:color="auto" w:fill="DCE6F1"/>
          </w:tcPr>
          <w:p>
            <w:pPr>
              <w:pStyle w:val="Compact"/>
              <w:spacing w:before="0" w:after="0" w:line="240" w:lineRule="auto"/>
              <w:jc w:val="left"/>
            </w:pPr>
            <w:r>
              <w:rPr>
                <w:b/>
                <w:color w:val="1F3864"/>
                <w:sz w:val="18"/>
              </w:rPr>
              <w:t xml:space="preserve">Issue</w:t>
            </w:r>
          </w:p>
        </w:tc>
        <w:tc>
          <w:tcPr>
            <w:tcW w:type="dxa" w:w="1539"/>
            <w:shd w:val="clear" w:color="auto" w:fill="DCE6F1"/>
          </w:tcPr>
          <w:p>
            <w:pPr>
              <w:pStyle w:val="Compact"/>
              <w:spacing w:before="0" w:after="0" w:line="240" w:lineRule="auto"/>
              <w:jc w:val="left"/>
            </w:pPr>
            <w:r>
              <w:rPr>
                <w:b/>
                <w:color w:val="1F3864"/>
                <w:sz w:val="18"/>
              </w:rPr>
              <w:t xml:space="preserve">Provision breached</w:t>
            </w:r>
          </w:p>
        </w:tc>
        <w:tc>
          <w:tcPr>
            <w:tcW w:type="dxa" w:w="1209"/>
            <w:shd w:val="clear" w:color="auto" w:fill="DCE6F1"/>
          </w:tcPr>
          <w:p>
            <w:pPr>
              <w:pStyle w:val="Compact"/>
              <w:spacing w:before="0" w:after="0" w:line="240" w:lineRule="auto"/>
              <w:jc w:val="left"/>
            </w:pPr>
            <w:r>
              <w:rPr>
                <w:b/>
                <w:color w:val="1F3864"/>
                <w:sz w:val="18"/>
              </w:rPr>
              <w:t xml:space="preserve">Period</w:t>
            </w:r>
          </w:p>
        </w:tc>
        <w:tc>
          <w:tcPr>
            <w:tcW w:type="dxa" w:w="1099"/>
            <w:shd w:val="clear" w:color="auto" w:fill="DCE6F1"/>
          </w:tcPr>
          <w:p>
            <w:pPr>
              <w:pStyle w:val="Compact"/>
              <w:spacing w:before="0" w:after="0" w:line="240" w:lineRule="auto"/>
              <w:jc w:val="left"/>
            </w:pPr>
            <w:r>
              <w:rPr>
                <w:b/>
                <w:color w:val="1F3864"/>
                <w:sz w:val="18"/>
              </w:rPr>
              <w:t xml:space="preserve">IGST (₹)</w:t>
            </w:r>
          </w:p>
        </w:tc>
        <w:tc>
          <w:tcPr>
            <w:tcW w:type="dxa" w:w="1099"/>
            <w:shd w:val="clear" w:color="auto" w:fill="DCE6F1"/>
          </w:tcPr>
          <w:p>
            <w:pPr>
              <w:pStyle w:val="Compact"/>
              <w:spacing w:before="0" w:after="0" w:line="240" w:lineRule="auto"/>
              <w:jc w:val="left"/>
            </w:pPr>
            <w:r>
              <w:rPr>
                <w:b/>
                <w:color w:val="1F3864"/>
                <w:sz w:val="18"/>
              </w:rPr>
              <w:t xml:space="preserve">CGST (₹)</w:t>
            </w:r>
          </w:p>
        </w:tc>
        <w:tc>
          <w:tcPr>
            <w:tcW w:type="dxa" w:w="1099"/>
            <w:shd w:val="clear" w:color="auto" w:fill="DCE6F1"/>
          </w:tcPr>
          <w:p>
            <w:pPr>
              <w:pStyle w:val="Compact"/>
              <w:spacing w:before="0" w:after="0" w:line="240" w:lineRule="auto"/>
              <w:jc w:val="left"/>
            </w:pPr>
            <w:r>
              <w:rPr>
                <w:b/>
                <w:color w:val="1F3864"/>
                <w:sz w:val="18"/>
              </w:rPr>
              <w:t xml:space="preserve">SGST (₹)</w:t>
            </w:r>
          </w:p>
        </w:tc>
        <w:tc>
          <w:tcPr>
            <w:tcW w:type="dxa" w:w="1099"/>
            <w:shd w:val="clear" w:color="auto" w:fill="DCE6F1"/>
          </w:tcPr>
          <w:p>
            <w:pPr>
              <w:pStyle w:val="Compact"/>
              <w:spacing w:before="0" w:after="0" w:line="240" w:lineRule="auto"/>
              <w:jc w:val="left"/>
            </w:pPr>
            <w:r>
              <w:rPr>
                <w:b/>
                <w:color w:val="1F3864"/>
                <w:sz w:val="18"/>
              </w:rPr>
              <w:t xml:space="preserve">Cess (₹)</w:t>
            </w:r>
          </w:p>
        </w:tc>
        <w:tc>
          <w:tcPr>
            <w:tcW w:type="dxa" w:w="1099"/>
            <w:shd w:val="clear" w:color="auto" w:fill="DCE6F1"/>
          </w:tcPr>
          <w:p>
            <w:pPr>
              <w:pStyle w:val="Compact"/>
              <w:spacing w:before="0" w:after="0" w:line="240" w:lineRule="auto"/>
              <w:jc w:val="left"/>
            </w:pPr>
            <w:r>
              <w:rPr>
                <w:b/>
                <w:color w:val="1F3864"/>
                <w:sz w:val="18"/>
              </w:rPr>
              <w:t xml:space="preserve">Total (₹)</w:t>
            </w:r>
          </w:p>
        </w:tc>
      </w:tr>
      <w:tr>
        <w:tc>
          <w:tcPr>
            <w:tcW w:type="dxa" w:w="1393"/>
          </w:tcPr>
          <w:p>
            <w:pPr>
              <w:pStyle w:val="Compact"/>
              <w:spacing w:before="0" w:after="0" w:line="240" w:lineRule="auto"/>
              <w:jc w:val="left"/>
            </w:pPr>
            <w:r>
              <w:rPr>
                <w:sz w:val="18"/>
              </w:rPr>
              <w:t xml:space="preserve">1</w:t>
            </w:r>
          </w:p>
        </w:tc>
        <w:tc>
          <w:tcPr>
            <w:tcW w:type="dxa" w:w="1539"/>
          </w:tcPr>
          <w:p>
            <w:pPr>
              <w:pStyle w:val="Compact"/>
              <w:spacing w:before="0" w:after="0" w:line="240" w:lineRule="auto"/>
              <w:jc w:val="left"/>
            </w:pPr>
            <w:r>
              <w:rPr>
                <w:sz w:val="18"/>
              </w:rPr>
              <w:t xml:space="preserve">[section / rule]</w:t>
            </w:r>
          </w:p>
        </w:tc>
        <w:tc>
          <w:tcPr>
            <w:tcW w:type="dxa" w:w="1209"/>
          </w:tcPr>
          <w:p>
            <w:pPr>
              <w:pStyle w:val="Compact"/>
              <w:spacing w:before="0" w:after="0" w:line="240" w:lineRule="auto"/>
              <w:jc w:val="left"/>
            </w:pPr>
            <w:r>
              <w:rPr>
                <w:sz w:val="18"/>
              </w:rPr>
              <w:t xml:space="preserve">[Mon YYYY to Mon YYYY]</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r>
      <w:tr>
        <w:tc>
          <w:tcPr>
            <w:tcW w:type="dxa" w:w="1393"/>
          </w:tcPr>
          <w:p>
            <w:pPr>
              <w:pStyle w:val="Compact"/>
              <w:spacing w:before="0" w:after="0" w:line="240" w:lineRule="auto"/>
              <w:jc w:val="left"/>
            </w:pPr>
            <w:r>
              <w:rPr>
                <w:sz w:val="18"/>
              </w:rPr>
              <w:t xml:space="preserve">2</w:t>
            </w:r>
          </w:p>
        </w:tc>
        <w:tc>
          <w:tcPr>
            <w:tcW w:type="dxa" w:w="1539"/>
          </w:tcPr>
          <w:p>
            <w:pPr>
              <w:pStyle w:val="Compact"/>
              <w:spacing w:before="0" w:after="0" w:line="240" w:lineRule="auto"/>
              <w:jc w:val="left"/>
            </w:pPr>
            <w:r>
              <w:rPr>
                <w:sz w:val="18"/>
              </w:rPr>
              <w:t xml:space="preserve">[ ]</w:t>
            </w:r>
          </w:p>
        </w:tc>
        <w:tc>
          <w:tcPr>
            <w:tcW w:type="dxa" w:w="120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r>
      <w:tr>
        <w:tc>
          <w:tcPr>
            <w:tcW w:type="dxa" w:w="1393"/>
            <w:shd w:val="clear" w:color="auto" w:fill="F2F2F2"/>
          </w:tcPr>
          <w:p>
            <w:pPr>
              <w:pStyle w:val="Compact"/>
              <w:spacing w:before="0" w:after="0" w:line="240" w:lineRule="auto"/>
              <w:jc w:val="left"/>
            </w:pPr>
            <w:r>
              <w:rPr>
                <w:sz w:val="18"/>
              </w:rPr>
              <w:t xml:space="preserve">Total ascertained</w:t>
            </w:r>
          </w:p>
        </w:tc>
        <w:tc>
          <w:tcPr>
            <w:tcW w:type="dxa" w:w="1539"/>
            <w:shd w:val="clear" w:color="auto" w:fill="F2F2F2"/>
          </w:tcPr>
          <w:p>
            <w:pPr>
              <w:pStyle w:val="Compact"/>
              <w:spacing w:before="0" w:after="0" w:line="240" w:lineRule="auto"/>
            </w:pPr>
          </w:p>
        </w:tc>
        <w:tc>
          <w:tcPr>
            <w:tcW w:type="dxa" w:w="1209"/>
            <w:shd w:val="clear" w:color="auto" w:fill="F2F2F2"/>
          </w:tcPr>
          <w:p>
            <w:pPr>
              <w:pStyle w:val="Compact"/>
              <w:spacing w:before="0" w:after="0" w:line="240" w:lineRule="auto"/>
            </w:pPr>
          </w:p>
        </w:tc>
        <w:tc>
          <w:tcPr>
            <w:tcW w:type="dxa" w:w="1099"/>
            <w:shd w:val="clear" w:color="auto" w:fill="F2F2F2"/>
          </w:tcPr>
          <w:p>
            <w:pPr>
              <w:pStyle w:val="Compact"/>
              <w:spacing w:before="0" w:after="0" w:line="240" w:lineRule="auto"/>
              <w:jc w:val="left"/>
            </w:pPr>
            <w:r>
              <w:rPr>
                <w:sz w:val="18"/>
              </w:rPr>
              <w:t xml:space="preserve">[ ]</w:t>
            </w:r>
          </w:p>
        </w:tc>
        <w:tc>
          <w:tcPr>
            <w:tcW w:type="dxa" w:w="1099"/>
            <w:shd w:val="clear" w:color="auto" w:fill="F2F2F2"/>
          </w:tcPr>
          <w:p>
            <w:pPr>
              <w:pStyle w:val="Compact"/>
              <w:spacing w:before="0" w:after="0" w:line="240" w:lineRule="auto"/>
              <w:jc w:val="left"/>
            </w:pPr>
            <w:r>
              <w:rPr>
                <w:sz w:val="18"/>
              </w:rPr>
              <w:t xml:space="preserve">[ ]</w:t>
            </w:r>
          </w:p>
        </w:tc>
        <w:tc>
          <w:tcPr>
            <w:tcW w:type="dxa" w:w="1099"/>
            <w:shd w:val="clear" w:color="auto" w:fill="F2F2F2"/>
          </w:tcPr>
          <w:p>
            <w:pPr>
              <w:pStyle w:val="Compact"/>
              <w:spacing w:before="0" w:after="0" w:line="240" w:lineRule="auto"/>
              <w:jc w:val="left"/>
            </w:pPr>
            <w:r>
              <w:rPr>
                <w:sz w:val="18"/>
              </w:rPr>
              <w:t xml:space="preserve">[ ]</w:t>
            </w:r>
          </w:p>
        </w:tc>
        <w:tc>
          <w:tcPr>
            <w:tcW w:type="dxa" w:w="1099"/>
            <w:shd w:val="clear" w:color="auto" w:fill="F2F2F2"/>
          </w:tcPr>
          <w:p>
            <w:pPr>
              <w:pStyle w:val="Compact"/>
              <w:spacing w:before="0" w:after="0" w:line="240" w:lineRule="auto"/>
              <w:jc w:val="left"/>
            </w:pPr>
            <w:r>
              <w:rPr>
                <w:sz w:val="18"/>
              </w:rPr>
              <w:t xml:space="preserve">[ ]</w:t>
            </w:r>
          </w:p>
        </w:tc>
        <w:tc>
          <w:tcPr>
            <w:tcW w:type="dxa" w:w="1099"/>
            <w:shd w:val="clear" w:color="auto" w:fill="F2F2F2"/>
          </w:tcPr>
          <w:p>
            <w:pPr>
              <w:pStyle w:val="Compact"/>
              <w:spacing w:before="0" w:after="0" w:line="240" w:lineRule="auto"/>
              <w:jc w:val="left"/>
            </w:pPr>
            <w:r>
              <w:rPr>
                <w:sz w:val="18"/>
              </w:rPr>
              <w:t xml:space="preserve">[ ]</w:t>
            </w:r>
          </w:p>
        </w:tc>
      </w:tr>
      <w:tr>
        <w:tc>
          <w:tcPr>
            <w:tcW w:type="dxa" w:w="1393"/>
          </w:tcPr>
          <w:p>
            <w:pPr>
              <w:pStyle w:val="Compact"/>
              <w:spacing w:before="0" w:after="0" w:line="240" w:lineRule="auto"/>
              <w:jc w:val="left"/>
            </w:pPr>
            <w:r>
              <w:rPr>
                <w:sz w:val="18"/>
              </w:rPr>
              <w:t xml:space="preserve">Less paid before notice (para 1.4)</w:t>
            </w:r>
          </w:p>
        </w:tc>
        <w:tc>
          <w:tcPr>
            <w:tcW w:type="dxa" w:w="1539"/>
          </w:tcPr>
          <w:p>
            <w:pPr>
              <w:pStyle w:val="Compact"/>
              <w:spacing w:before="0" w:after="0" w:line="240" w:lineRule="auto"/>
            </w:pPr>
          </w:p>
        </w:tc>
        <w:tc>
          <w:tcPr>
            <w:tcW w:type="dxa" w:w="1209"/>
          </w:tcPr>
          <w:p>
            <w:pPr>
              <w:pStyle w:val="Compact"/>
              <w:spacing w:before="0" w:after="0" w:line="240" w:lineRule="auto"/>
            </w:pP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c>
          <w:tcPr>
            <w:tcW w:type="dxa" w:w="1099"/>
          </w:tcPr>
          <w:p>
            <w:pPr>
              <w:pStyle w:val="Compact"/>
              <w:spacing w:before="0" w:after="0" w:line="240" w:lineRule="auto"/>
              <w:jc w:val="left"/>
            </w:pPr>
            <w:r>
              <w:rPr>
                <w:sz w:val="18"/>
              </w:rPr>
              <w:t xml:space="preserve">[ ]</w:t>
            </w:r>
          </w:p>
        </w:tc>
      </w:tr>
      <w:tr>
        <w:tc>
          <w:tcPr>
            <w:tcW w:type="dxa" w:w="1393"/>
            <w:shd w:val="clear" w:color="auto" w:fill="F2F2F2"/>
          </w:tcPr>
          <w:p>
            <w:pPr>
              <w:pStyle w:val="Compact"/>
              <w:spacing w:before="0" w:after="0" w:line="240" w:lineRule="auto"/>
              <w:jc w:val="left"/>
            </w:pPr>
            <w:r>
              <w:rPr>
                <w:bCs/>
                <w:b/>
                <w:sz w:val="18"/>
              </w:rPr>
              <w:t xml:space="preserve">Total tax proposed</w:t>
            </w:r>
          </w:p>
        </w:tc>
        <w:tc>
          <w:tcPr>
            <w:tcW w:type="dxa" w:w="1539"/>
            <w:shd w:val="clear" w:color="auto" w:fill="F2F2F2"/>
          </w:tcPr>
          <w:p>
            <w:pPr>
              <w:pStyle w:val="Compact"/>
              <w:spacing w:before="0" w:after="0" w:line="240" w:lineRule="auto"/>
            </w:pPr>
          </w:p>
        </w:tc>
        <w:tc>
          <w:tcPr>
            <w:tcW w:type="dxa" w:w="1209"/>
            <w:shd w:val="clear" w:color="auto" w:fill="F2F2F2"/>
          </w:tcPr>
          <w:p>
            <w:pPr>
              <w:pStyle w:val="Compact"/>
              <w:spacing w:before="0" w:after="0" w:line="240" w:lineRule="auto"/>
            </w:pPr>
          </w:p>
        </w:tc>
        <w:tc>
          <w:tcPr>
            <w:tcW w:type="dxa" w:w="1099"/>
            <w:shd w:val="clear" w:color="auto" w:fill="F2F2F2"/>
          </w:tcPr>
          <w:p>
            <w:pPr>
              <w:pStyle w:val="Compact"/>
              <w:spacing w:before="0" w:after="0" w:line="240" w:lineRule="auto"/>
              <w:jc w:val="left"/>
            </w:pPr>
            <w:r>
              <w:rPr>
                <w:bCs/>
                <w:b/>
                <w:sz w:val="18"/>
              </w:rPr>
              <w:t xml:space="preserve">[ ]</w:t>
            </w:r>
          </w:p>
        </w:tc>
        <w:tc>
          <w:tcPr>
            <w:tcW w:type="dxa" w:w="1099"/>
            <w:shd w:val="clear" w:color="auto" w:fill="F2F2F2"/>
          </w:tcPr>
          <w:p>
            <w:pPr>
              <w:pStyle w:val="Compact"/>
              <w:spacing w:before="0" w:after="0" w:line="240" w:lineRule="auto"/>
              <w:jc w:val="left"/>
            </w:pPr>
            <w:r>
              <w:rPr>
                <w:bCs/>
                <w:b/>
                <w:sz w:val="18"/>
              </w:rPr>
              <w:t xml:space="preserve">[ ]</w:t>
            </w:r>
          </w:p>
        </w:tc>
        <w:tc>
          <w:tcPr>
            <w:tcW w:type="dxa" w:w="1099"/>
            <w:shd w:val="clear" w:color="auto" w:fill="F2F2F2"/>
          </w:tcPr>
          <w:p>
            <w:pPr>
              <w:pStyle w:val="Compact"/>
              <w:spacing w:before="0" w:after="0" w:line="240" w:lineRule="auto"/>
              <w:jc w:val="left"/>
            </w:pPr>
            <w:r>
              <w:rPr>
                <w:bCs/>
                <w:b/>
                <w:sz w:val="18"/>
              </w:rPr>
              <w:t xml:space="preserve">[ ]</w:t>
            </w:r>
          </w:p>
        </w:tc>
        <w:tc>
          <w:tcPr>
            <w:tcW w:type="dxa" w:w="1099"/>
            <w:shd w:val="clear" w:color="auto" w:fill="F2F2F2"/>
          </w:tcPr>
          <w:p>
            <w:pPr>
              <w:pStyle w:val="Compact"/>
              <w:spacing w:before="0" w:after="0" w:line="240" w:lineRule="auto"/>
              <w:jc w:val="left"/>
            </w:pPr>
            <w:r>
              <w:rPr>
                <w:bCs/>
                <w:b/>
                <w:sz w:val="18"/>
              </w:rPr>
              <w:t xml:space="preserve">[ ]</w:t>
            </w:r>
          </w:p>
        </w:tc>
        <w:tc>
          <w:tcPr>
            <w:tcW w:type="dxa" w:w="1099"/>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6.3</w:t>
      </w:r>
      <w:r>
        <w:t xml:space="preserve"> </w:t>
      </w:r>
      <w:r>
        <w:rPr>
          <w:bCs/>
          <w:b/>
        </w:rPr>
        <w:t xml:space="preserve">Demand in the layout of FORM GST DRC-01 (details of tax and other dues).</w:t>
      </w:r>
      <w:r>
        <w:t xml:space="preserve"> </w:t>
      </w:r>
      <w:r>
        <w:t xml:space="preserve">The same figures are entered in the DRC-01 summary, so that the summary and this notice agree line by line.</w:t>
      </w:r>
      <w:r>
        <w:t xml:space="preserve"> </w:t>
      </w:r>
      <w:r>
        <w:t xml:space="preserve">“</w:t>
      </w:r>
      <w:r>
        <w:t xml:space="preserve">Value</w:t>
      </w:r>
      <w:r>
        <w:t xml:space="preserve">”</w:t>
      </w:r>
      <w:r>
        <w:t xml:space="preserve"> </w:t>
      </w:r>
      <w:r>
        <w:t xml:space="preserve">is the turnover or the credit on which the tax is computed (the</w:t>
      </w:r>
      <w:r>
        <w:t xml:space="preserve"> </w:t>
      </w:r>
      <w:r>
        <w:t xml:space="preserve">“</w:t>
      </w:r>
      <w:r>
        <w:t xml:space="preserve">Turnover</w:t>
      </w:r>
      <w:r>
        <w:t xml:space="preserve">”</w:t>
      </w:r>
      <w:r>
        <w:t xml:space="preserve"> </w:t>
      </w:r>
      <w:r>
        <w:t xml:space="preserve">column of DRC-01);</w:t>
      </w:r>
      <w:r>
        <w:t xml:space="preserve"> </w:t>
      </w:r>
      <w:r>
        <w:t xml:space="preserve">“</w:t>
      </w:r>
      <w:r>
        <w:t xml:space="preserve">From</w:t>
      </w:r>
      <w:r>
        <w:t xml:space="preserve">”</w:t>
      </w:r>
      <w:r>
        <w:t xml:space="preserve"> </w:t>
      </w:r>
      <w:r>
        <w:t xml:space="preserve">and</w:t>
      </w:r>
      <w:r>
        <w:t xml:space="preserve"> </w:t>
      </w:r>
      <w:r>
        <w:t xml:space="preserve">“</w:t>
      </w:r>
      <w:r>
        <w:t xml:space="preserve">To</w:t>
      </w:r>
      <w:r>
        <w:t xml:space="preserve">”</w:t>
      </w:r>
      <w:r>
        <w:t xml:space="preserve"> </w:t>
      </w:r>
      <w:r>
        <w:t xml:space="preserve">are the period.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704"/>
        <w:gridCol w:w="704"/>
        <w:gridCol w:w="704"/>
        <w:gridCol w:w="704"/>
        <w:gridCol w:w="704"/>
        <w:gridCol w:w="704"/>
        <w:gridCol w:w="774"/>
        <w:gridCol w:w="704"/>
        <w:gridCol w:w="915"/>
        <w:gridCol w:w="844"/>
        <w:gridCol w:w="704"/>
        <w:gridCol w:w="774"/>
        <w:gridCol w:w="704"/>
      </w:tblGrid>
      <w:tr>
        <w:trPr>
          <w:tblHeader w:val="true"/>
          <w:tblHeader/>
        </w:trPr>
        <w:tc>
          <w:tcPr>
            <w:tcW w:type="dxa" w:w="704"/>
            <w:shd w:val="clear" w:color="auto" w:fill="DCE6F1"/>
          </w:tcPr>
          <w:p>
            <w:pPr>
              <w:pStyle w:val="Compact"/>
              <w:spacing w:before="0" w:after="0" w:line="240" w:lineRule="auto"/>
              <w:jc w:val="left"/>
            </w:pPr>
            <w:r>
              <w:rPr>
                <w:b/>
                <w:color w:val="1F3864"/>
                <w:sz w:val="18"/>
              </w:rPr>
              <w:t xml:space="preserve">No.</w:t>
            </w:r>
          </w:p>
        </w:tc>
        <w:tc>
          <w:tcPr>
            <w:tcW w:type="dxa" w:w="704"/>
            <w:shd w:val="clear" w:color="auto" w:fill="DCE6F1"/>
          </w:tcPr>
          <w:p>
            <w:pPr>
              <w:pStyle w:val="Compact"/>
              <w:spacing w:before="0" w:after="0" w:line="240" w:lineRule="auto"/>
              <w:jc w:val="left"/>
            </w:pPr>
            <w:r>
              <w:rPr>
                <w:b/>
                <w:color w:val="1F3864"/>
                <w:sz w:val="18"/>
              </w:rPr>
              <w:t xml:space="preserve">Tax rate</w:t>
            </w:r>
          </w:p>
        </w:tc>
        <w:tc>
          <w:tcPr>
            <w:tcW w:type="dxa" w:w="704"/>
            <w:shd w:val="clear" w:color="auto" w:fill="DCE6F1"/>
          </w:tcPr>
          <w:p>
            <w:pPr>
              <w:pStyle w:val="Compact"/>
              <w:spacing w:before="0" w:after="0" w:line="240" w:lineRule="auto"/>
              <w:jc w:val="left"/>
            </w:pPr>
            <w:r>
              <w:rPr>
                <w:b/>
                <w:color w:val="1F3864"/>
                <w:sz w:val="18"/>
              </w:rPr>
              <w:t xml:space="preserve">Value (₹)</w:t>
            </w:r>
          </w:p>
        </w:tc>
        <w:tc>
          <w:tcPr>
            <w:tcW w:type="dxa" w:w="704"/>
            <w:shd w:val="clear" w:color="auto" w:fill="DCE6F1"/>
          </w:tcPr>
          <w:p>
            <w:pPr>
              <w:pStyle w:val="Compact"/>
              <w:spacing w:before="0" w:after="0" w:line="240" w:lineRule="auto"/>
              <w:jc w:val="left"/>
            </w:pPr>
            <w:r>
              <w:rPr>
                <w:b/>
                <w:color w:val="1F3864"/>
                <w:sz w:val="18"/>
              </w:rPr>
              <w:t xml:space="preserve">From</w:t>
            </w:r>
          </w:p>
        </w:tc>
        <w:tc>
          <w:tcPr>
            <w:tcW w:type="dxa" w:w="704"/>
            <w:shd w:val="clear" w:color="auto" w:fill="DCE6F1"/>
          </w:tcPr>
          <w:p>
            <w:pPr>
              <w:pStyle w:val="Compact"/>
              <w:spacing w:before="0" w:after="0" w:line="240" w:lineRule="auto"/>
              <w:jc w:val="left"/>
            </w:pPr>
            <w:r>
              <w:rPr>
                <w:b/>
                <w:color w:val="1F3864"/>
                <w:sz w:val="18"/>
              </w:rPr>
              <w:t xml:space="preserve">To</w:t>
            </w:r>
          </w:p>
        </w:tc>
        <w:tc>
          <w:tcPr>
            <w:tcW w:type="dxa" w:w="704"/>
            <w:shd w:val="clear" w:color="auto" w:fill="DCE6F1"/>
          </w:tcPr>
          <w:p>
            <w:pPr>
              <w:pStyle w:val="Compact"/>
              <w:spacing w:before="0" w:after="0" w:line="240" w:lineRule="auto"/>
              <w:jc w:val="left"/>
            </w:pPr>
            <w:r>
              <w:rPr>
                <w:b/>
                <w:color w:val="1F3864"/>
                <w:sz w:val="18"/>
              </w:rPr>
              <w:t xml:space="preserve">Act</w:t>
            </w:r>
          </w:p>
        </w:tc>
        <w:tc>
          <w:tcPr>
            <w:tcW w:type="dxa" w:w="774"/>
            <w:shd w:val="clear" w:color="auto" w:fill="DCE6F1"/>
          </w:tcPr>
          <w:p>
            <w:pPr>
              <w:pStyle w:val="Compact"/>
              <w:spacing w:before="0" w:after="0" w:line="240" w:lineRule="auto"/>
              <w:jc w:val="left"/>
            </w:pPr>
            <w:r>
              <w:rPr>
                <w:b/>
                <w:color w:val="1F3864"/>
                <w:sz w:val="18"/>
              </w:rPr>
              <w:t xml:space="preserve">Place of supply</w:t>
            </w:r>
          </w:p>
        </w:tc>
        <w:tc>
          <w:tcPr>
            <w:tcW w:type="dxa" w:w="704"/>
            <w:shd w:val="clear" w:color="auto" w:fill="DCE6F1"/>
          </w:tcPr>
          <w:p>
            <w:pPr>
              <w:pStyle w:val="Compact"/>
              <w:spacing w:before="0" w:after="0" w:line="240" w:lineRule="auto"/>
              <w:jc w:val="left"/>
            </w:pPr>
            <w:r>
              <w:rPr>
                <w:b/>
                <w:color w:val="1F3864"/>
                <w:sz w:val="18"/>
              </w:rPr>
              <w:t xml:space="preserve">Tax (₹)</w:t>
            </w:r>
          </w:p>
        </w:tc>
        <w:tc>
          <w:tcPr>
            <w:tcW w:type="dxa" w:w="915"/>
            <w:shd w:val="clear" w:color="auto" w:fill="DCE6F1"/>
          </w:tcPr>
          <w:p>
            <w:pPr>
              <w:pStyle w:val="Compact"/>
              <w:spacing w:before="0" w:after="0" w:line="240" w:lineRule="auto"/>
              <w:jc w:val="left"/>
            </w:pPr>
            <w:r>
              <w:rPr>
                <w:b/>
                <w:color w:val="1F3864"/>
                <w:sz w:val="18"/>
              </w:rPr>
              <w:t xml:space="preserve">Interest (₹)</w:t>
            </w:r>
          </w:p>
        </w:tc>
        <w:tc>
          <w:tcPr>
            <w:tcW w:type="dxa" w:w="844"/>
            <w:shd w:val="clear" w:color="auto" w:fill="DCE6F1"/>
          </w:tcPr>
          <w:p>
            <w:pPr>
              <w:pStyle w:val="Compact"/>
              <w:spacing w:before="0" w:after="0" w:line="240" w:lineRule="auto"/>
              <w:jc w:val="left"/>
            </w:pPr>
            <w:r>
              <w:rPr>
                <w:b/>
                <w:color w:val="1F3864"/>
                <w:sz w:val="18"/>
              </w:rPr>
              <w:t xml:space="preserve">Penalty (₹)</w:t>
            </w:r>
          </w:p>
        </w:tc>
        <w:tc>
          <w:tcPr>
            <w:tcW w:type="dxa" w:w="704"/>
            <w:shd w:val="clear" w:color="auto" w:fill="DCE6F1"/>
          </w:tcPr>
          <w:p>
            <w:pPr>
              <w:pStyle w:val="Compact"/>
              <w:spacing w:before="0" w:after="0" w:line="240" w:lineRule="auto"/>
              <w:jc w:val="left"/>
            </w:pPr>
            <w:r>
              <w:rPr>
                <w:b/>
                <w:color w:val="1F3864"/>
                <w:sz w:val="18"/>
              </w:rPr>
              <w:t xml:space="preserve">Fee (₹)</w:t>
            </w:r>
          </w:p>
        </w:tc>
        <w:tc>
          <w:tcPr>
            <w:tcW w:type="dxa" w:w="774"/>
            <w:shd w:val="clear" w:color="auto" w:fill="DCE6F1"/>
          </w:tcPr>
          <w:p>
            <w:pPr>
              <w:pStyle w:val="Compact"/>
              <w:spacing w:before="0" w:after="0" w:line="240" w:lineRule="auto"/>
              <w:jc w:val="left"/>
            </w:pPr>
            <w:r>
              <w:rPr>
                <w:b/>
                <w:color w:val="1F3864"/>
                <w:sz w:val="18"/>
              </w:rPr>
              <w:t xml:space="preserve">Others (₹)</w:t>
            </w:r>
          </w:p>
        </w:tc>
        <w:tc>
          <w:tcPr>
            <w:tcW w:type="dxa" w:w="704"/>
            <w:shd w:val="clear" w:color="auto" w:fill="DCE6F1"/>
          </w:tcPr>
          <w:p>
            <w:pPr>
              <w:pStyle w:val="Compact"/>
              <w:spacing w:before="0" w:after="0" w:line="240" w:lineRule="auto"/>
              <w:jc w:val="left"/>
            </w:pPr>
            <w:r>
              <w:rPr>
                <w:b/>
                <w:color w:val="1F3864"/>
                <w:sz w:val="18"/>
              </w:rPr>
              <w:t xml:space="preserve">Total (₹)</w:t>
            </w:r>
          </w:p>
        </w:tc>
      </w:tr>
      <w:tr>
        <w:tc>
          <w:tcPr>
            <w:tcW w:type="dxa" w:w="704"/>
          </w:tcPr>
          <w:p>
            <w:pPr>
              <w:pStyle w:val="Compact"/>
              <w:spacing w:before="0" w:after="0" w:line="240" w:lineRule="auto"/>
              <w:jc w:val="left"/>
            </w:pPr>
            <w:r>
              <w:rPr>
                <w:sz w:val="18"/>
              </w:rPr>
              <w:t xml:space="preserve">1</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[date]</w:t>
            </w:r>
          </w:p>
        </w:tc>
        <w:tc>
          <w:tcPr>
            <w:tcW w:type="dxa" w:w="704"/>
          </w:tcPr>
          <w:p>
            <w:pPr>
              <w:pStyle w:val="Compact"/>
              <w:spacing w:before="0" w:after="0" w:line="240" w:lineRule="auto"/>
              <w:jc w:val="left"/>
            </w:pPr>
            <w:r>
              <w:rPr>
                <w:sz w:val="18"/>
              </w:rPr>
              <w:t xml:space="preserve">[date]</w:t>
            </w:r>
          </w:p>
        </w:tc>
        <w:tc>
          <w:tcPr>
            <w:tcW w:type="dxa" w:w="704"/>
          </w:tcPr>
          <w:p>
            <w:pPr>
              <w:pStyle w:val="Compact"/>
              <w:spacing w:before="0" w:after="0" w:line="240" w:lineRule="auto"/>
              <w:jc w:val="left"/>
            </w:pPr>
            <w:r>
              <w:rPr>
                <w:sz w:val="18"/>
              </w:rPr>
              <w:t xml:space="preserve">IGST</w:t>
            </w:r>
          </w:p>
        </w:tc>
        <w:tc>
          <w:tcPr>
            <w:tcW w:type="dxa" w:w="774"/>
          </w:tcPr>
          <w:p>
            <w:pPr>
              <w:pStyle w:val="Compact"/>
              <w:spacing w:before="0" w:after="0" w:line="240" w:lineRule="auto"/>
              <w:jc w:val="left"/>
            </w:pPr>
            <w:r>
              <w:rPr>
                <w:sz w:val="18"/>
              </w:rPr>
              <w:t xml:space="preserve">[State]</w:t>
            </w:r>
          </w:p>
        </w:tc>
        <w:tc>
          <w:tcPr>
            <w:tcW w:type="dxa" w:w="704"/>
          </w:tcPr>
          <w:p>
            <w:pPr>
              <w:pStyle w:val="Compact"/>
              <w:spacing w:before="0" w:after="0" w:line="240" w:lineRule="auto"/>
              <w:jc w:val="left"/>
            </w:pPr>
            <w:r>
              <w:rPr>
                <w:sz w:val="18"/>
              </w:rPr>
              <w:t xml:space="preserve">[ ]</w:t>
            </w:r>
          </w:p>
        </w:tc>
        <w:tc>
          <w:tcPr>
            <w:tcW w:type="dxa" w:w="915"/>
          </w:tcPr>
          <w:p>
            <w:pPr>
              <w:pStyle w:val="Compact"/>
              <w:spacing w:before="0" w:after="0" w:line="240" w:lineRule="auto"/>
              <w:jc w:val="left"/>
            </w:pPr>
            <w:r>
              <w:rPr>
                <w:sz w:val="18"/>
              </w:rPr>
              <w:t xml:space="preserve">[ ]</w:t>
            </w:r>
          </w:p>
        </w:tc>
        <w:tc>
          <w:tcPr>
            <w:tcW w:type="dxa" w:w="84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Nil</w:t>
            </w:r>
          </w:p>
        </w:tc>
        <w:tc>
          <w:tcPr>
            <w:tcW w:type="dxa" w:w="774"/>
          </w:tcPr>
          <w:p>
            <w:pPr>
              <w:pStyle w:val="Compact"/>
              <w:spacing w:before="0" w:after="0" w:line="240" w:lineRule="auto"/>
              <w:jc w:val="left"/>
            </w:pPr>
            <w:r>
              <w:rPr>
                <w:sz w:val="18"/>
              </w:rPr>
              <w:t xml:space="preserve">Nil</w:t>
            </w:r>
          </w:p>
        </w:tc>
        <w:tc>
          <w:tcPr>
            <w:tcW w:type="dxa" w:w="704"/>
          </w:tcPr>
          <w:p>
            <w:pPr>
              <w:pStyle w:val="Compact"/>
              <w:spacing w:before="0" w:after="0" w:line="240" w:lineRule="auto"/>
              <w:jc w:val="left"/>
            </w:pPr>
            <w:r>
              <w:rPr>
                <w:sz w:val="18"/>
              </w:rPr>
              <w:t xml:space="preserve">[ ]</w:t>
            </w:r>
          </w:p>
        </w:tc>
      </w:tr>
      <w:tr>
        <w:tc>
          <w:tcPr>
            <w:tcW w:type="dxa" w:w="704"/>
          </w:tcPr>
          <w:p>
            <w:pPr>
              <w:pStyle w:val="Compact"/>
              <w:spacing w:before="0" w:after="0" w:line="240" w:lineRule="auto"/>
              <w:jc w:val="left"/>
            </w:pPr>
            <w:r>
              <w:rPr>
                <w:sz w:val="18"/>
              </w:rPr>
              <w:t xml:space="preserve">2</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CGST</w:t>
            </w:r>
          </w:p>
        </w:tc>
        <w:tc>
          <w:tcPr>
            <w:tcW w:type="dxa" w:w="77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915"/>
          </w:tcPr>
          <w:p>
            <w:pPr>
              <w:pStyle w:val="Compact"/>
              <w:spacing w:before="0" w:after="0" w:line="240" w:lineRule="auto"/>
              <w:jc w:val="left"/>
            </w:pPr>
            <w:r>
              <w:rPr>
                <w:sz w:val="18"/>
              </w:rPr>
              <w:t xml:space="preserve">[ ]</w:t>
            </w:r>
          </w:p>
        </w:tc>
        <w:tc>
          <w:tcPr>
            <w:tcW w:type="dxa" w:w="84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Nil</w:t>
            </w:r>
          </w:p>
        </w:tc>
        <w:tc>
          <w:tcPr>
            <w:tcW w:type="dxa" w:w="774"/>
          </w:tcPr>
          <w:p>
            <w:pPr>
              <w:pStyle w:val="Compact"/>
              <w:spacing w:before="0" w:after="0" w:line="240" w:lineRule="auto"/>
              <w:jc w:val="left"/>
            </w:pPr>
            <w:r>
              <w:rPr>
                <w:sz w:val="18"/>
              </w:rPr>
              <w:t xml:space="preserve">Nil</w:t>
            </w:r>
          </w:p>
        </w:tc>
        <w:tc>
          <w:tcPr>
            <w:tcW w:type="dxa" w:w="704"/>
          </w:tcPr>
          <w:p>
            <w:pPr>
              <w:pStyle w:val="Compact"/>
              <w:spacing w:before="0" w:after="0" w:line="240" w:lineRule="auto"/>
              <w:jc w:val="left"/>
            </w:pPr>
            <w:r>
              <w:rPr>
                <w:sz w:val="18"/>
              </w:rPr>
              <w:t xml:space="preserve">[ ]</w:t>
            </w:r>
          </w:p>
        </w:tc>
      </w:tr>
      <w:tr>
        <w:tc>
          <w:tcPr>
            <w:tcW w:type="dxa" w:w="704"/>
          </w:tcPr>
          <w:p>
            <w:pPr>
              <w:pStyle w:val="Compact"/>
              <w:spacing w:before="0" w:after="0" w:line="240" w:lineRule="auto"/>
              <w:jc w:val="left"/>
            </w:pPr>
            <w:r>
              <w:rPr>
                <w:sz w:val="18"/>
              </w:rPr>
              <w:t xml:space="preserve">3</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SGST</w:t>
            </w:r>
          </w:p>
        </w:tc>
        <w:tc>
          <w:tcPr>
            <w:tcW w:type="dxa" w:w="77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915"/>
          </w:tcPr>
          <w:p>
            <w:pPr>
              <w:pStyle w:val="Compact"/>
              <w:spacing w:before="0" w:after="0" w:line="240" w:lineRule="auto"/>
              <w:jc w:val="left"/>
            </w:pPr>
            <w:r>
              <w:rPr>
                <w:sz w:val="18"/>
              </w:rPr>
              <w:t xml:space="preserve">[ ]</w:t>
            </w:r>
          </w:p>
        </w:tc>
        <w:tc>
          <w:tcPr>
            <w:tcW w:type="dxa" w:w="84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Nil</w:t>
            </w:r>
          </w:p>
        </w:tc>
        <w:tc>
          <w:tcPr>
            <w:tcW w:type="dxa" w:w="774"/>
          </w:tcPr>
          <w:p>
            <w:pPr>
              <w:pStyle w:val="Compact"/>
              <w:spacing w:before="0" w:after="0" w:line="240" w:lineRule="auto"/>
              <w:jc w:val="left"/>
            </w:pPr>
            <w:r>
              <w:rPr>
                <w:sz w:val="18"/>
              </w:rPr>
              <w:t xml:space="preserve">Nil</w:t>
            </w:r>
          </w:p>
        </w:tc>
        <w:tc>
          <w:tcPr>
            <w:tcW w:type="dxa" w:w="704"/>
          </w:tcPr>
          <w:p>
            <w:pPr>
              <w:pStyle w:val="Compact"/>
              <w:spacing w:before="0" w:after="0" w:line="240" w:lineRule="auto"/>
              <w:jc w:val="left"/>
            </w:pPr>
            <w:r>
              <w:rPr>
                <w:sz w:val="18"/>
              </w:rPr>
              <w:t xml:space="preserve">[ ]</w:t>
            </w:r>
          </w:p>
        </w:tc>
      </w:tr>
      <w:tr>
        <w:tc>
          <w:tcPr>
            <w:tcW w:type="dxa" w:w="704"/>
          </w:tcPr>
          <w:p>
            <w:pPr>
              <w:pStyle w:val="Compact"/>
              <w:spacing w:before="0" w:after="0" w:line="240" w:lineRule="auto"/>
              <w:jc w:val="left"/>
            </w:pPr>
            <w:r>
              <w:rPr>
                <w:sz w:val="18"/>
              </w:rPr>
              <w:t xml:space="preserve">4</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Cess</w:t>
            </w:r>
          </w:p>
        </w:tc>
        <w:tc>
          <w:tcPr>
            <w:tcW w:type="dxa" w:w="77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 ]</w:t>
            </w:r>
          </w:p>
        </w:tc>
        <w:tc>
          <w:tcPr>
            <w:tcW w:type="dxa" w:w="915"/>
          </w:tcPr>
          <w:p>
            <w:pPr>
              <w:pStyle w:val="Compact"/>
              <w:spacing w:before="0" w:after="0" w:line="240" w:lineRule="auto"/>
              <w:jc w:val="left"/>
            </w:pPr>
            <w:r>
              <w:rPr>
                <w:sz w:val="18"/>
              </w:rPr>
              <w:t xml:space="preserve">[ ]</w:t>
            </w:r>
          </w:p>
        </w:tc>
        <w:tc>
          <w:tcPr>
            <w:tcW w:type="dxa" w:w="844"/>
          </w:tcPr>
          <w:p>
            <w:pPr>
              <w:pStyle w:val="Compact"/>
              <w:spacing w:before="0" w:after="0" w:line="240" w:lineRule="auto"/>
              <w:jc w:val="left"/>
            </w:pPr>
            <w:r>
              <w:rPr>
                <w:sz w:val="18"/>
              </w:rPr>
              <w:t xml:space="preserve">[ ]</w:t>
            </w:r>
          </w:p>
        </w:tc>
        <w:tc>
          <w:tcPr>
            <w:tcW w:type="dxa" w:w="704"/>
          </w:tcPr>
          <w:p>
            <w:pPr>
              <w:pStyle w:val="Compact"/>
              <w:spacing w:before="0" w:after="0" w:line="240" w:lineRule="auto"/>
              <w:jc w:val="left"/>
            </w:pPr>
            <w:r>
              <w:rPr>
                <w:sz w:val="18"/>
              </w:rPr>
              <w:t xml:space="preserve">Nil</w:t>
            </w:r>
          </w:p>
        </w:tc>
        <w:tc>
          <w:tcPr>
            <w:tcW w:type="dxa" w:w="774"/>
          </w:tcPr>
          <w:p>
            <w:pPr>
              <w:pStyle w:val="Compact"/>
              <w:spacing w:before="0" w:after="0" w:line="240" w:lineRule="auto"/>
              <w:jc w:val="left"/>
            </w:pPr>
            <w:r>
              <w:rPr>
                <w:sz w:val="18"/>
              </w:rPr>
              <w:t xml:space="preserve">Nil</w:t>
            </w:r>
          </w:p>
        </w:tc>
        <w:tc>
          <w:tcPr>
            <w:tcW w:type="dxa" w:w="704"/>
          </w:tcPr>
          <w:p>
            <w:pPr>
              <w:pStyle w:val="Compact"/>
              <w:spacing w:before="0" w:after="0" w:line="240" w:lineRule="auto"/>
              <w:jc w:val="left"/>
            </w:pPr>
            <w:r>
              <w:rPr>
                <w:sz w:val="18"/>
              </w:rPr>
              <w:t xml:space="preserve">[ ]</w:t>
            </w:r>
          </w:p>
        </w:tc>
      </w:tr>
      <w:tr>
        <w:tc>
          <w:tcPr>
            <w:tcW w:type="dxa" w:w="704"/>
            <w:shd w:val="clear" w:color="auto" w:fill="F2F2F2"/>
          </w:tcPr>
          <w:p>
            <w:pPr>
              <w:pStyle w:val="Compact"/>
              <w:spacing w:before="0" w:after="0" w:line="240" w:lineRule="auto"/>
              <w:jc w:val="left"/>
            </w:pPr>
            <w:r>
              <w:rPr>
                <w:sz w:val="18"/>
              </w:rPr>
              <w:t xml:space="preserve">Total</w:t>
            </w:r>
          </w:p>
        </w:tc>
        <w:tc>
          <w:tcPr>
            <w:tcW w:type="dxa" w:w="704"/>
            <w:shd w:val="clear" w:color="auto" w:fill="F2F2F2"/>
          </w:tcPr>
          <w:p>
            <w:pPr>
              <w:pStyle w:val="Compact"/>
              <w:spacing w:before="0" w:after="0" w:line="240" w:lineRule="auto"/>
            </w:pPr>
          </w:p>
        </w:tc>
        <w:tc>
          <w:tcPr>
            <w:tcW w:type="dxa" w:w="704"/>
            <w:shd w:val="clear" w:color="auto" w:fill="F2F2F2"/>
          </w:tcPr>
          <w:p>
            <w:pPr>
              <w:pStyle w:val="Compact"/>
              <w:spacing w:before="0" w:after="0" w:line="240" w:lineRule="auto"/>
            </w:pPr>
          </w:p>
        </w:tc>
        <w:tc>
          <w:tcPr>
            <w:tcW w:type="dxa" w:w="704"/>
            <w:shd w:val="clear" w:color="auto" w:fill="F2F2F2"/>
          </w:tcPr>
          <w:p>
            <w:pPr>
              <w:pStyle w:val="Compact"/>
              <w:spacing w:before="0" w:after="0" w:line="240" w:lineRule="auto"/>
            </w:pPr>
          </w:p>
        </w:tc>
        <w:tc>
          <w:tcPr>
            <w:tcW w:type="dxa" w:w="704"/>
            <w:shd w:val="clear" w:color="auto" w:fill="F2F2F2"/>
          </w:tcPr>
          <w:p>
            <w:pPr>
              <w:pStyle w:val="Compact"/>
              <w:spacing w:before="0" w:after="0" w:line="240" w:lineRule="auto"/>
            </w:pPr>
          </w:p>
        </w:tc>
        <w:tc>
          <w:tcPr>
            <w:tcW w:type="dxa" w:w="704"/>
            <w:shd w:val="clear" w:color="auto" w:fill="F2F2F2"/>
          </w:tcPr>
          <w:p>
            <w:pPr>
              <w:pStyle w:val="Compact"/>
              <w:spacing w:before="0" w:after="0" w:line="240" w:lineRule="auto"/>
            </w:pPr>
          </w:p>
        </w:tc>
        <w:tc>
          <w:tcPr>
            <w:tcW w:type="dxa" w:w="774"/>
            <w:shd w:val="clear" w:color="auto" w:fill="F2F2F2"/>
          </w:tcPr>
          <w:p>
            <w:pPr>
              <w:pStyle w:val="Compact"/>
              <w:spacing w:before="0" w:after="0" w:line="240" w:lineRule="auto"/>
            </w:pPr>
          </w:p>
        </w:tc>
        <w:tc>
          <w:tcPr>
            <w:tcW w:type="dxa" w:w="704"/>
            <w:shd w:val="clear" w:color="auto" w:fill="F2F2F2"/>
          </w:tcPr>
          <w:p>
            <w:pPr>
              <w:pStyle w:val="Compact"/>
              <w:spacing w:before="0" w:after="0" w:line="240" w:lineRule="auto"/>
              <w:jc w:val="left"/>
            </w:pPr>
            <w:r>
              <w:rPr>
                <w:sz w:val="18"/>
              </w:rPr>
              <w:t xml:space="preserve">[ ]</w:t>
            </w:r>
          </w:p>
        </w:tc>
        <w:tc>
          <w:tcPr>
            <w:tcW w:type="dxa" w:w="915"/>
            <w:shd w:val="clear" w:color="auto" w:fill="F2F2F2"/>
          </w:tcPr>
          <w:p>
            <w:pPr>
              <w:pStyle w:val="Compact"/>
              <w:spacing w:before="0" w:after="0" w:line="240" w:lineRule="auto"/>
              <w:jc w:val="left"/>
            </w:pPr>
            <w:r>
              <w:rPr>
                <w:sz w:val="18"/>
              </w:rPr>
              <w:t xml:space="preserve">[ ]</w:t>
            </w:r>
          </w:p>
        </w:tc>
        <w:tc>
          <w:tcPr>
            <w:tcW w:type="dxa" w:w="844"/>
            <w:shd w:val="clear" w:color="auto" w:fill="F2F2F2"/>
          </w:tcPr>
          <w:p>
            <w:pPr>
              <w:pStyle w:val="Compact"/>
              <w:spacing w:before="0" w:after="0" w:line="240" w:lineRule="auto"/>
              <w:jc w:val="left"/>
            </w:pPr>
            <w:r>
              <w:rPr>
                <w:sz w:val="18"/>
              </w:rPr>
              <w:t xml:space="preserve">[ ]</w:t>
            </w:r>
          </w:p>
        </w:tc>
        <w:tc>
          <w:tcPr>
            <w:tcW w:type="dxa" w:w="704"/>
            <w:shd w:val="clear" w:color="auto" w:fill="F2F2F2"/>
          </w:tcPr>
          <w:p>
            <w:pPr>
              <w:pStyle w:val="Compact"/>
              <w:spacing w:before="0" w:after="0" w:line="240" w:lineRule="auto"/>
              <w:jc w:val="left"/>
            </w:pPr>
            <w:r>
              <w:rPr>
                <w:sz w:val="18"/>
              </w:rPr>
              <w:t xml:space="preserve">Nil</w:t>
            </w:r>
          </w:p>
        </w:tc>
        <w:tc>
          <w:tcPr>
            <w:tcW w:type="dxa" w:w="774"/>
            <w:shd w:val="clear" w:color="auto" w:fill="F2F2F2"/>
          </w:tcPr>
          <w:p>
            <w:pPr>
              <w:pStyle w:val="Compact"/>
              <w:spacing w:before="0" w:after="0" w:line="240" w:lineRule="auto"/>
              <w:jc w:val="left"/>
            </w:pPr>
            <w:r>
              <w:rPr>
                <w:sz w:val="18"/>
              </w:rPr>
              <w:t xml:space="preserve">Nil</w:t>
            </w:r>
          </w:p>
        </w:tc>
        <w:tc>
          <w:tcPr>
            <w:tcW w:type="dxa" w:w="704"/>
            <w:shd w:val="clear" w:color="auto" w:fill="F2F2F2"/>
          </w:tcPr>
          <w:p>
            <w:pPr>
              <w:pStyle w:val="Compact"/>
              <w:spacing w:before="0" w:after="0" w:line="240" w:lineRule="auto"/>
              <w:jc w:val="left"/>
            </w:pPr>
            <w:r>
              <w:rPr>
                <w:sz w:val="18"/>
              </w:rPr>
              <w:t xml:space="preserve">[ ]</w:t>
            </w:r>
          </w:p>
        </w:tc>
      </w:tr>
    </w:tbl>
    <w:p>
      <w:pPr>
        <w:pStyle w:val="BodyText"/>
        <w:spacing w:before="0" w:after="120" w:line="269" w:lineRule="auto"/>
        <w:jc w:val="both"/>
      </w:pPr>
      <w:r>
        <w:t xml:space="preserve">6.4 Interest in the table is worked out up to the date of this notice (Part 7) and continues to run until payment. Figures are rounded to the nearest rupee (section 170).</w:t>
      </w:r>
    </w:p>
    <w:p>
      <w:pPr>
        <w:pStyle w:val="BlockText"/>
        <w:shd w:val="clear" w:color="auto" w:fill="E7E6E6"/>
      </w:pPr>
      <w:r>
        <w:rPr>
          <w:bCs/>
          <w:b/>
          <w:sz w:val="21"/>
        </w:rPr>
        <w:t xml:space="preserve">Drafting note (Part 6).</w:t>
      </w:r>
      <w:r>
        <w:rPr>
          <w:sz w:val="21"/>
        </w:rPr>
        <w:t xml:space="preserve"> </w:t>
      </w:r>
      <w:r>
        <w:rPr>
          <w:sz w:val="21"/>
        </w:rPr>
        <w:t xml:space="preserve">Keep the</w:t>
      </w:r>
      <w:r>
        <w:rPr>
          <w:sz w:val="21"/>
        </w:rPr>
        <w:t xml:space="preserve"> </w:t>
      </w:r>
      <w:r>
        <w:rPr>
          <w:sz w:val="21"/>
        </w:rPr>
        <w:t xml:space="preserve">“</w:t>
      </w:r>
      <w:r>
        <w:rPr>
          <w:sz w:val="21"/>
        </w:rPr>
        <w:t xml:space="preserve">Fee</w:t>
      </w:r>
      <w:r>
        <w:rPr>
          <w:sz w:val="21"/>
        </w:rPr>
        <w:t xml:space="preserve">”</w:t>
      </w:r>
      <w:r>
        <w:rPr>
          <w:sz w:val="21"/>
        </w:rPr>
        <w:t xml:space="preserve"> </w:t>
      </w:r>
      <w:r>
        <w:rPr>
          <w:sz w:val="21"/>
        </w:rPr>
        <w:t xml:space="preserve">column nil: late fee is not demanded in this notice (A2 module 10). Use one row per Act per issue if the rates or periods differ. Before signing, recompute every row; check that the totals in Part 6, para 10.5, the cover table and DRC-01 agree; check the words against the figures and the year labels; and print-preview so that no table runs off the page.</w:t>
      </w:r>
    </w:p>
    <w:p>
      <w:pPr>
        <w:pStyle w:val="FirstParagraph"/>
        <w:keepNext/>
        <w:spacing w:before="240" w:after="80"/>
        <w:pBdr>
          <w:bottom w:val="single" w:sz="6" w:space="1" w:color="B4C6E7"/>
        </w:pBdr>
      </w:pPr>
      <w:r>
        <w:rPr>
          <w:bCs/>
          <w:b/>
          <w:color w:val="1F3864"/>
          <w:sz w:val="25"/>
        </w:rPr>
        <w:t xml:space="preserve">7. Interest</w:t>
      </w:r>
    </w:p>
    <w:p>
      <w:pPr>
        <w:pStyle w:val="BodyText"/>
        <w:spacing w:before="0" w:after="120" w:line="269" w:lineRule="auto"/>
      </w:pPr>
      <w:r>
        <w:t xml:space="preserve">7.1 [Keep 7.2 or 7.3 or both, as the issues require.]</w:t>
      </w:r>
    </w:p>
    <w:p>
      <w:pPr>
        <w:pStyle w:val="BodyText"/>
        <w:spacing w:before="0" w:after="120" w:line="269" w:lineRule="auto"/>
        <w:jc w:val="both"/>
      </w:pPr>
      <w:r>
        <w:t xml:space="preserve">7.2</w:t>
      </w:r>
      <w:r>
        <w:t xml:space="preserve"> </w:t>
      </w:r>
      <w:r>
        <w:rPr>
          <w:bCs/>
          <w:b/>
        </w:rPr>
        <w:t xml:space="preserve">Interest under section 50(1) on tax not paid</w:t>
      </w:r>
      <w:r>
        <w:t xml:space="preserve"> </w:t>
      </w:r>
      <w:r>
        <w:t xml:space="preserve">(rule 88B(2)): at eighteen per cent a year (Notification No. 13/2017-Central Tax dated 28.06.2017), from the day after the due date of payment for each month (section 50(2)) to the date of payment.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05"/>
        <w:gridCol w:w="1205"/>
        <w:gridCol w:w="1446"/>
        <w:gridCol w:w="1566"/>
        <w:gridCol w:w="1446"/>
        <w:gridCol w:w="1205"/>
        <w:gridCol w:w="1566"/>
      </w:tblGrid>
      <w:tr>
        <w:trPr>
          <w:tblHeader w:val="true"/>
          <w:tblHeader/>
        </w:trPr>
        <w:tc>
          <w:tcPr>
            <w:tcW w:type="dxa" w:w="1205"/>
            <w:shd w:val="clear" w:color="auto" w:fill="DCE6F1"/>
          </w:tcPr>
          <w:p>
            <w:pPr>
              <w:pStyle w:val="Compact"/>
              <w:spacing w:before="0" w:after="0" w:line="240" w:lineRule="auto"/>
              <w:jc w:val="left"/>
            </w:pPr>
            <w:r>
              <w:rPr>
                <w:b/>
                <w:color w:val="1F3864"/>
                <w:sz w:val="18"/>
              </w:rPr>
              <w:t xml:space="preserve">Month</w:t>
            </w:r>
          </w:p>
        </w:tc>
        <w:tc>
          <w:tcPr>
            <w:tcW w:type="dxa" w:w="1205"/>
            <w:shd w:val="clear" w:color="auto" w:fill="DCE6F1"/>
          </w:tcPr>
          <w:p>
            <w:pPr>
              <w:pStyle w:val="Compact"/>
              <w:spacing w:before="0" w:after="0" w:line="240" w:lineRule="auto"/>
              <w:jc w:val="left"/>
            </w:pPr>
            <w:r>
              <w:rPr>
                <w:b/>
                <w:color w:val="1F3864"/>
                <w:sz w:val="18"/>
              </w:rPr>
              <w:t xml:space="preserve">Tax not paid (₹)</w:t>
            </w:r>
          </w:p>
        </w:tc>
        <w:tc>
          <w:tcPr>
            <w:tcW w:type="dxa" w:w="1446"/>
            <w:shd w:val="clear" w:color="auto" w:fill="DCE6F1"/>
          </w:tcPr>
          <w:p>
            <w:pPr>
              <w:pStyle w:val="Compact"/>
              <w:spacing w:before="0" w:after="0" w:line="240" w:lineRule="auto"/>
              <w:jc w:val="left"/>
            </w:pPr>
            <w:r>
              <w:rPr>
                <w:b/>
                <w:color w:val="1F3864"/>
                <w:sz w:val="18"/>
              </w:rPr>
              <w:t xml:space="preserve">Due date of payment</w:t>
            </w:r>
          </w:p>
        </w:tc>
        <w:tc>
          <w:tcPr>
            <w:tcW w:type="dxa" w:w="1566"/>
            <w:shd w:val="clear" w:color="auto" w:fill="DCE6F1"/>
          </w:tcPr>
          <w:p>
            <w:pPr>
              <w:pStyle w:val="Compact"/>
              <w:spacing w:before="0" w:after="0" w:line="240" w:lineRule="auto"/>
              <w:jc w:val="left"/>
            </w:pPr>
            <w:r>
              <w:rPr>
                <w:b/>
                <w:color w:val="1F3864"/>
                <w:sz w:val="18"/>
              </w:rPr>
              <w:t xml:space="preserve">Interest from</w:t>
            </w:r>
          </w:p>
        </w:tc>
        <w:tc>
          <w:tcPr>
            <w:tcW w:type="dxa" w:w="1446"/>
            <w:shd w:val="clear" w:color="auto" w:fill="DCE6F1"/>
          </w:tcPr>
          <w:p>
            <w:pPr>
              <w:pStyle w:val="Compact"/>
              <w:spacing w:before="0" w:after="0" w:line="240" w:lineRule="auto"/>
              <w:jc w:val="left"/>
            </w:pPr>
            <w:r>
              <w:rPr>
                <w:b/>
                <w:color w:val="1F3864"/>
                <w:sz w:val="18"/>
              </w:rPr>
              <w:t xml:space="preserve">Up to (date of notice)</w:t>
            </w:r>
          </w:p>
        </w:tc>
        <w:tc>
          <w:tcPr>
            <w:tcW w:type="dxa" w:w="1205"/>
            <w:shd w:val="clear" w:color="auto" w:fill="DCE6F1"/>
          </w:tcPr>
          <w:p>
            <w:pPr>
              <w:pStyle w:val="Compact"/>
              <w:spacing w:before="0" w:after="0" w:line="240" w:lineRule="auto"/>
              <w:jc w:val="left"/>
            </w:pPr>
            <w:r>
              <w:rPr>
                <w:b/>
                <w:color w:val="1F3864"/>
                <w:sz w:val="18"/>
              </w:rPr>
              <w:t xml:space="preserve">Days</w:t>
            </w:r>
          </w:p>
        </w:tc>
        <w:tc>
          <w:tcPr>
            <w:tcW w:type="dxa" w:w="1566"/>
            <w:shd w:val="clear" w:color="auto" w:fill="DCE6F1"/>
          </w:tcPr>
          <w:p>
            <w:pPr>
              <w:pStyle w:val="Compact"/>
              <w:spacing w:before="0" w:after="0" w:line="240" w:lineRule="auto"/>
              <w:jc w:val="left"/>
            </w:pPr>
            <w:r>
              <w:rPr>
                <w:b/>
                <w:color w:val="1F3864"/>
                <w:sz w:val="18"/>
              </w:rPr>
              <w:t xml:space="preserve">Interest to date of notice (₹)</w:t>
            </w:r>
          </w:p>
        </w:tc>
      </w:tr>
      <w:tr>
        <w:tc>
          <w:tcPr>
            <w:tcW w:type="dxa" w:w="1205"/>
          </w:tcPr>
          <w:p>
            <w:pPr>
              <w:pStyle w:val="Compact"/>
              <w:spacing w:before="0" w:after="0" w:line="240" w:lineRule="auto"/>
              <w:jc w:val="left"/>
            </w:pPr>
            <w:r>
              <w:rPr>
                <w:sz w:val="18"/>
              </w:rPr>
              <w:t xml:space="preserve">[Mon YYYY]</w:t>
            </w:r>
          </w:p>
        </w:tc>
        <w:tc>
          <w:tcPr>
            <w:tcW w:type="dxa" w:w="1205"/>
          </w:tcPr>
          <w:p>
            <w:pPr>
              <w:pStyle w:val="Compact"/>
              <w:spacing w:before="0" w:after="0" w:line="240" w:lineRule="auto"/>
              <w:jc w:val="left"/>
            </w:pPr>
            <w:r>
              <w:rPr>
                <w:sz w:val="18"/>
              </w:rPr>
              <w:t xml:space="preserve">[ ]</w:t>
            </w:r>
          </w:p>
        </w:tc>
        <w:tc>
          <w:tcPr>
            <w:tcW w:type="dxa" w:w="1446"/>
          </w:tcPr>
          <w:p>
            <w:pPr>
              <w:pStyle w:val="Compact"/>
              <w:spacing w:before="0" w:after="0" w:line="240" w:lineRule="auto"/>
              <w:jc w:val="left"/>
            </w:pPr>
            <w:r>
              <w:rPr>
                <w:sz w:val="18"/>
              </w:rPr>
              <w:t xml:space="preserve">[DD.MM.YYYY]</w:t>
            </w:r>
          </w:p>
        </w:tc>
        <w:tc>
          <w:tcPr>
            <w:tcW w:type="dxa" w:w="1566"/>
          </w:tcPr>
          <w:p>
            <w:pPr>
              <w:pStyle w:val="Compact"/>
              <w:spacing w:before="0" w:after="0" w:line="240" w:lineRule="auto"/>
              <w:jc w:val="left"/>
            </w:pPr>
            <w:r>
              <w:rPr>
                <w:sz w:val="18"/>
              </w:rPr>
              <w:t xml:space="preserve">[DD.MM.YYYY]</w:t>
            </w:r>
          </w:p>
        </w:tc>
        <w:tc>
          <w:tcPr>
            <w:tcW w:type="dxa" w:w="1446"/>
          </w:tcPr>
          <w:p>
            <w:pPr>
              <w:pStyle w:val="Compact"/>
              <w:spacing w:before="0" w:after="0" w:line="240" w:lineRule="auto"/>
              <w:jc w:val="left"/>
            </w:pPr>
            <w:r>
              <w:rPr>
                <w:sz w:val="18"/>
              </w:rPr>
              <w:t xml:space="preserve">[DD.MM.YYYY]</w:t>
            </w:r>
          </w:p>
        </w:tc>
        <w:tc>
          <w:tcPr>
            <w:tcW w:type="dxa" w:w="1205"/>
          </w:tcPr>
          <w:p>
            <w:pPr>
              <w:pStyle w:val="Compact"/>
              <w:spacing w:before="0" w:after="0" w:line="240" w:lineRule="auto"/>
              <w:jc w:val="left"/>
            </w:pPr>
            <w:r>
              <w:rPr>
                <w:sz w:val="18"/>
              </w:rPr>
              <w:t xml:space="preserve">[ ]</w:t>
            </w:r>
          </w:p>
        </w:tc>
        <w:tc>
          <w:tcPr>
            <w:tcW w:type="dxa" w:w="1566"/>
          </w:tcPr>
          <w:p>
            <w:pPr>
              <w:pStyle w:val="Compact"/>
              <w:spacing w:before="0" w:after="0" w:line="240" w:lineRule="auto"/>
              <w:jc w:val="left"/>
            </w:pPr>
            <w:r>
              <w:rPr>
                <w:sz w:val="18"/>
              </w:rPr>
              <w:t xml:space="preserve">[ ]</w:t>
            </w:r>
          </w:p>
        </w:tc>
      </w:tr>
      <w:tr>
        <w:tc>
          <w:tcPr>
            <w:tcW w:type="dxa" w:w="1205"/>
            <w:shd w:val="clear" w:color="auto" w:fill="F2F2F2"/>
          </w:tcPr>
          <w:p>
            <w:pPr>
              <w:pStyle w:val="Compact"/>
              <w:spacing w:before="0" w:after="0" w:line="240" w:lineRule="auto"/>
              <w:jc w:val="left"/>
            </w:pPr>
            <w:r>
              <w:rPr>
                <w:sz w:val="18"/>
              </w:rPr>
              <w:t xml:space="preserve">Total</w:t>
            </w:r>
          </w:p>
        </w:tc>
        <w:tc>
          <w:tcPr>
            <w:tcW w:type="dxa" w:w="1205"/>
            <w:shd w:val="clear" w:color="auto" w:fill="F2F2F2"/>
          </w:tcPr>
          <w:p>
            <w:pPr>
              <w:pStyle w:val="Compact"/>
              <w:spacing w:before="0" w:after="0" w:line="240" w:lineRule="auto"/>
              <w:jc w:val="left"/>
            </w:pPr>
            <w:r>
              <w:rPr>
                <w:sz w:val="18"/>
              </w:rPr>
              <w:t xml:space="preserve">[ ]</w:t>
            </w:r>
          </w:p>
        </w:tc>
        <w:tc>
          <w:tcPr>
            <w:tcW w:type="dxa" w:w="1446"/>
            <w:shd w:val="clear" w:color="auto" w:fill="F2F2F2"/>
          </w:tcPr>
          <w:p>
            <w:pPr>
              <w:pStyle w:val="Compact"/>
              <w:spacing w:before="0" w:after="0" w:line="240" w:lineRule="auto"/>
            </w:pPr>
          </w:p>
        </w:tc>
        <w:tc>
          <w:tcPr>
            <w:tcW w:type="dxa" w:w="1566"/>
            <w:shd w:val="clear" w:color="auto" w:fill="F2F2F2"/>
          </w:tcPr>
          <w:p>
            <w:pPr>
              <w:pStyle w:val="Compact"/>
              <w:spacing w:before="0" w:after="0" w:line="240" w:lineRule="auto"/>
            </w:pPr>
          </w:p>
        </w:tc>
        <w:tc>
          <w:tcPr>
            <w:tcW w:type="dxa" w:w="1446"/>
            <w:shd w:val="clear" w:color="auto" w:fill="F2F2F2"/>
          </w:tcPr>
          <w:p>
            <w:pPr>
              <w:pStyle w:val="Compact"/>
              <w:spacing w:before="0" w:after="0" w:line="240" w:lineRule="auto"/>
            </w:pPr>
          </w:p>
        </w:tc>
        <w:tc>
          <w:tcPr>
            <w:tcW w:type="dxa" w:w="1205"/>
            <w:shd w:val="clear" w:color="auto" w:fill="F2F2F2"/>
          </w:tcPr>
          <w:p>
            <w:pPr>
              <w:pStyle w:val="Compact"/>
              <w:spacing w:before="0" w:after="0" w:line="240" w:lineRule="auto"/>
            </w:pPr>
          </w:p>
        </w:tc>
        <w:tc>
          <w:tcPr>
            <w:tcW w:type="dxa" w:w="1566"/>
            <w:shd w:val="clear" w:color="auto" w:fill="F2F2F2"/>
          </w:tcPr>
          <w:p>
            <w:pPr>
              <w:pStyle w:val="Compact"/>
              <w:spacing w:before="0" w:after="0" w:line="240" w:lineRule="auto"/>
              <w:jc w:val="left"/>
            </w:pPr>
            <w:r>
              <w:rPr>
                <w:sz w:val="18"/>
              </w:rPr>
              <w:t xml:space="preserve">[ ]</w:t>
            </w:r>
          </w:p>
        </w:tc>
      </w:tr>
    </w:tbl>
    <w:p>
      <w:pPr>
        <w:pStyle w:val="BodyText"/>
        <w:spacing w:before="0" w:after="120" w:line="269" w:lineRule="auto"/>
        <w:jc w:val="both"/>
      </w:pPr>
      <w:r>
        <w:t xml:space="preserve">[Where the tax was declared in a return filed late:] The tax was declared in the return for the same period, filed after the due date and before these proceedings began. Under the proviso to section 50(1) and rule 88B(1), interest is computed only on the part paid by debiting the electronic cash ledger, ₹[ ]. [Where the return was filed on [DD.MM.YYYY], after these proceedings began on [DD.MM.YYYY], the proviso does not apply and interest is on the whole tax.]</w:t>
      </w:r>
    </w:p>
    <w:p>
      <w:pPr>
        <w:pStyle w:val="BodyText"/>
        <w:spacing w:before="0" w:after="120" w:line="269" w:lineRule="auto"/>
        <w:jc w:val="both"/>
      </w:pPr>
      <w:r>
        <w:t xml:space="preserve">7.3</w:t>
      </w:r>
      <w:r>
        <w:t xml:space="preserve"> </w:t>
      </w:r>
      <w:r>
        <w:rPr>
          <w:bCs/>
          <w:b/>
        </w:rPr>
        <w:t xml:space="preserve">Interest under section 50(3) on input tax credit wrongly availed and utilised</w:t>
      </w:r>
      <w:r>
        <w:t xml:space="preserve"> </w:t>
      </w:r>
      <w:r>
        <w:t xml:space="preserve">(rule 88B(3)): at the rate notified under section 50(3) [[ ] per cent a year: Notification No. 13/2017-Central Tax, as amended; confirm the rate in force before quantifying], from the date of utilisation to the date of reversal or payment. Credit is treated as utilised only when, and to the extent that, the balance in the electronic credit ledger falls below the credit wrongly availed (Explanation to rule 88B(3)). [For integrated tax credit, see Circular No. 192/04/2023-GST on how the ledger balance is read.]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50"/>
        <w:gridCol w:w="1276"/>
        <w:gridCol w:w="1531"/>
        <w:gridCol w:w="1191"/>
        <w:gridCol w:w="1701"/>
        <w:gridCol w:w="1134"/>
        <w:gridCol w:w="850"/>
        <w:gridCol w:w="1106"/>
      </w:tblGrid>
      <w:tr>
        <w:trPr>
          <w:tblHeader w:val="true"/>
          <w:tblHeader/>
        </w:trPr>
        <w:tc>
          <w:tcPr>
            <w:tcW w:type="dxa" w:w="850"/>
            <w:shd w:val="clear" w:color="auto" w:fill="DCE6F1"/>
          </w:tcPr>
          <w:p>
            <w:pPr>
              <w:pStyle w:val="Compact"/>
              <w:spacing w:before="0" w:after="0" w:line="240" w:lineRule="auto"/>
              <w:jc w:val="left"/>
            </w:pPr>
            <w:r>
              <w:rPr>
                <w:b/>
                <w:color w:val="1F3864"/>
                <w:sz w:val="18"/>
              </w:rPr>
              <w:t xml:space="preserve">Month</w:t>
            </w:r>
          </w:p>
        </w:tc>
        <w:tc>
          <w:tcPr>
            <w:tcW w:type="dxa" w:w="1276"/>
            <w:shd w:val="clear" w:color="auto" w:fill="DCE6F1"/>
          </w:tcPr>
          <w:p>
            <w:pPr>
              <w:pStyle w:val="Compact"/>
              <w:spacing w:before="0" w:after="0" w:line="240" w:lineRule="auto"/>
              <w:jc w:val="left"/>
            </w:pPr>
            <w:r>
              <w:rPr>
                <w:b/>
                <w:color w:val="1F3864"/>
                <w:sz w:val="18"/>
              </w:rPr>
              <w:t xml:space="preserve">Wrong ITC availed, cumulative (₹)</w:t>
            </w:r>
          </w:p>
        </w:tc>
        <w:tc>
          <w:tcPr>
            <w:tcW w:type="dxa" w:w="1531"/>
            <w:shd w:val="clear" w:color="auto" w:fill="DCE6F1"/>
          </w:tcPr>
          <w:p>
            <w:pPr>
              <w:pStyle w:val="Compact"/>
              <w:spacing w:before="0" w:after="0" w:line="240" w:lineRule="auto"/>
              <w:jc w:val="left"/>
            </w:pPr>
            <w:r>
              <w:rPr>
                <w:b/>
                <w:color w:val="1F3864"/>
                <w:sz w:val="18"/>
              </w:rPr>
              <w:t xml:space="preserve">Credit-ledger balance at month end (₹)</w:t>
            </w:r>
          </w:p>
        </w:tc>
        <w:tc>
          <w:tcPr>
            <w:tcW w:type="dxa" w:w="1191"/>
            <w:shd w:val="clear" w:color="auto" w:fill="DCE6F1"/>
          </w:tcPr>
          <w:p>
            <w:pPr>
              <w:pStyle w:val="Compact"/>
              <w:spacing w:before="0" w:after="0" w:line="240" w:lineRule="auto"/>
              <w:jc w:val="left"/>
            </w:pPr>
            <w:r>
              <w:rPr>
                <w:b/>
                <w:color w:val="1F3864"/>
                <w:sz w:val="18"/>
              </w:rPr>
              <w:t xml:space="preserve">Utilised = shortfall (₹)</w:t>
            </w:r>
          </w:p>
        </w:tc>
        <w:tc>
          <w:tcPr>
            <w:tcW w:type="dxa" w:w="1701"/>
            <w:shd w:val="clear" w:color="auto" w:fill="DCE6F1"/>
          </w:tcPr>
          <w:p>
            <w:pPr>
              <w:pStyle w:val="Compact"/>
              <w:spacing w:before="0" w:after="0" w:line="240" w:lineRule="auto"/>
              <w:jc w:val="left"/>
            </w:pPr>
            <w:r>
              <w:rPr>
                <w:b/>
                <w:color w:val="1F3864"/>
                <w:sz w:val="18"/>
              </w:rPr>
              <w:t xml:space="preserve">Date of utilisation (Explanation to rule 88B(3))</w:t>
            </w:r>
          </w:p>
        </w:tc>
        <w:tc>
          <w:tcPr>
            <w:tcW w:type="dxa" w:w="1134"/>
            <w:shd w:val="clear" w:color="auto" w:fill="DCE6F1"/>
          </w:tcPr>
          <w:p>
            <w:pPr>
              <w:pStyle w:val="Compact"/>
              <w:spacing w:before="0" w:after="0" w:line="240" w:lineRule="auto"/>
              <w:jc w:val="left"/>
            </w:pPr>
            <w:r>
              <w:rPr>
                <w:b/>
                <w:color w:val="1F3864"/>
                <w:sz w:val="18"/>
              </w:rPr>
              <w:t xml:space="preserve">Reversed / paid on</w:t>
            </w:r>
          </w:p>
        </w:tc>
        <w:tc>
          <w:tcPr>
            <w:tcW w:type="dxa" w:w="850"/>
            <w:shd w:val="clear" w:color="auto" w:fill="DCE6F1"/>
          </w:tcPr>
          <w:p>
            <w:pPr>
              <w:pStyle w:val="Compact"/>
              <w:spacing w:before="0" w:after="0" w:line="240" w:lineRule="auto"/>
              <w:jc w:val="left"/>
            </w:pPr>
            <w:r>
              <w:rPr>
                <w:b/>
                <w:color w:val="1F3864"/>
                <w:sz w:val="18"/>
              </w:rPr>
              <w:t xml:space="preserve">Days</w:t>
            </w:r>
          </w:p>
        </w:tc>
        <w:tc>
          <w:tcPr>
            <w:tcW w:type="dxa" w:w="1106"/>
            <w:shd w:val="clear" w:color="auto" w:fill="DCE6F1"/>
          </w:tcPr>
          <w:p>
            <w:pPr>
              <w:pStyle w:val="Compact"/>
              <w:spacing w:before="0" w:after="0" w:line="240" w:lineRule="auto"/>
              <w:jc w:val="left"/>
            </w:pPr>
            <w:r>
              <w:rPr>
                <w:b/>
                <w:color w:val="1F3864"/>
                <w:sz w:val="18"/>
              </w:rPr>
              <w:t xml:space="preserve">Interest (₹)</w:t>
            </w:r>
          </w:p>
        </w:tc>
      </w:tr>
      <w:tr>
        <w:tc>
          <w:tcPr>
            <w:tcW w:type="dxa" w:w="850"/>
          </w:tcPr>
          <w:p>
            <w:pPr>
              <w:pStyle w:val="Compact"/>
              <w:spacing w:before="0" w:after="0" w:line="240" w:lineRule="auto"/>
              <w:jc w:val="left"/>
            </w:pPr>
            <w:r>
              <w:rPr>
                <w:sz w:val="18"/>
              </w:rPr>
              <w:t xml:space="preserve">[Mon YYYY]</w:t>
            </w:r>
          </w:p>
        </w:tc>
        <w:tc>
          <w:tcPr>
            <w:tcW w:type="dxa" w:w="1276"/>
          </w:tcPr>
          <w:p>
            <w:pPr>
              <w:pStyle w:val="Compact"/>
              <w:spacing w:before="0" w:after="0" w:line="240" w:lineRule="auto"/>
              <w:jc w:val="left"/>
            </w:pPr>
            <w:r>
              <w:rPr>
                <w:sz w:val="18"/>
              </w:rPr>
              <w:t xml:space="preserve">[ ]</w:t>
            </w:r>
          </w:p>
        </w:tc>
        <w:tc>
          <w:tcPr>
            <w:tcW w:type="dxa" w:w="1531"/>
          </w:tcPr>
          <w:p>
            <w:pPr>
              <w:pStyle w:val="Compact"/>
              <w:spacing w:before="0" w:after="0" w:line="240" w:lineRule="auto"/>
              <w:jc w:val="left"/>
            </w:pPr>
            <w:r>
              <w:rPr>
                <w:sz w:val="18"/>
              </w:rPr>
              <w:t xml:space="preserve">[ ]</w:t>
            </w:r>
          </w:p>
        </w:tc>
        <w:tc>
          <w:tcPr>
            <w:tcW w:type="dxa" w:w="1191"/>
          </w:tcPr>
          <w:p>
            <w:pPr>
              <w:pStyle w:val="Compact"/>
              <w:spacing w:before="0" w:after="0" w:line="240" w:lineRule="auto"/>
              <w:jc w:val="left"/>
            </w:pPr>
            <w:r>
              <w:rPr>
                <w:sz w:val="18"/>
              </w:rPr>
              <w:t xml:space="preserve">[ ]</w:t>
            </w:r>
          </w:p>
        </w:tc>
        <w:tc>
          <w:tcPr>
            <w:tcW w:type="dxa" w:w="1701"/>
          </w:tcPr>
          <w:p>
            <w:pPr>
              <w:pStyle w:val="Compact"/>
              <w:spacing w:before="0" w:after="0" w:line="240" w:lineRule="auto"/>
              <w:jc w:val="left"/>
            </w:pPr>
            <w:r>
              <w:rPr>
                <w:sz w:val="18"/>
              </w:rPr>
              <w:t xml:space="preserve">[DD.MM.YYYY]</w:t>
            </w:r>
          </w:p>
        </w:tc>
        <w:tc>
          <w:tcPr>
            <w:tcW w:type="dxa" w:w="1134"/>
          </w:tcPr>
          <w:p>
            <w:pPr>
              <w:pStyle w:val="Compact"/>
              <w:spacing w:before="0" w:after="0" w:line="240" w:lineRule="auto"/>
              <w:jc w:val="left"/>
            </w:pPr>
            <w:r>
              <w:rPr>
                <w:sz w:val="18"/>
              </w:rPr>
              <w:t xml:space="preserve">[DD.MM.YYYY / not yet]</w:t>
            </w:r>
          </w:p>
        </w:tc>
        <w:tc>
          <w:tcPr>
            <w:tcW w:type="dxa" w:w="850"/>
          </w:tcPr>
          <w:p>
            <w:pPr>
              <w:pStyle w:val="Compact"/>
              <w:spacing w:before="0" w:after="0" w:line="240" w:lineRule="auto"/>
              <w:jc w:val="left"/>
            </w:pPr>
            <w:r>
              <w:rPr>
                <w:sz w:val="18"/>
              </w:rPr>
              <w:t xml:space="preserve">[ ]</w:t>
            </w:r>
          </w:p>
        </w:tc>
        <w:tc>
          <w:tcPr>
            <w:tcW w:type="dxa" w:w="1106"/>
          </w:tcPr>
          <w:p>
            <w:pPr>
              <w:pStyle w:val="Compact"/>
              <w:spacing w:before="0" w:after="0" w:line="240" w:lineRule="auto"/>
              <w:jc w:val="left"/>
            </w:pPr>
            <w:r>
              <w:rPr>
                <w:sz w:val="18"/>
              </w:rPr>
              <w:t xml:space="preserve">[ ]</w:t>
            </w:r>
          </w:p>
        </w:tc>
      </w:tr>
      <w:tr>
        <w:tc>
          <w:tcPr>
            <w:tcW w:type="dxa" w:w="850"/>
            <w:shd w:val="clear" w:color="auto" w:fill="F2F2F2"/>
          </w:tcPr>
          <w:p>
            <w:pPr>
              <w:pStyle w:val="Compact"/>
              <w:spacing w:before="0" w:after="0" w:line="240" w:lineRule="auto"/>
              <w:jc w:val="left"/>
            </w:pPr>
            <w:r>
              <w:rPr>
                <w:sz w:val="18"/>
              </w:rPr>
              <w:t xml:space="preserve">Total</w:t>
            </w:r>
          </w:p>
        </w:tc>
        <w:tc>
          <w:tcPr>
            <w:tcW w:type="dxa" w:w="1276"/>
            <w:shd w:val="clear" w:color="auto" w:fill="F2F2F2"/>
          </w:tcPr>
          <w:p>
            <w:pPr>
              <w:pStyle w:val="Compact"/>
              <w:spacing w:before="0" w:after="0" w:line="240" w:lineRule="auto"/>
            </w:pPr>
          </w:p>
        </w:tc>
        <w:tc>
          <w:tcPr>
            <w:tcW w:type="dxa" w:w="1531"/>
            <w:shd w:val="clear" w:color="auto" w:fill="F2F2F2"/>
          </w:tcPr>
          <w:p>
            <w:pPr>
              <w:pStyle w:val="Compact"/>
              <w:spacing w:before="0" w:after="0" w:line="240" w:lineRule="auto"/>
            </w:pPr>
          </w:p>
        </w:tc>
        <w:tc>
          <w:tcPr>
            <w:tcW w:type="dxa" w:w="1191"/>
            <w:shd w:val="clear" w:color="auto" w:fill="F2F2F2"/>
          </w:tcPr>
          <w:p>
            <w:pPr>
              <w:pStyle w:val="Compact"/>
              <w:spacing w:before="0" w:after="0" w:line="240" w:lineRule="auto"/>
            </w:pPr>
          </w:p>
        </w:tc>
        <w:tc>
          <w:tcPr>
            <w:tcW w:type="dxa" w:w="1701"/>
            <w:shd w:val="clear" w:color="auto" w:fill="F2F2F2"/>
          </w:tcPr>
          <w:p>
            <w:pPr>
              <w:pStyle w:val="Compact"/>
              <w:spacing w:before="0" w:after="0" w:line="240" w:lineRule="auto"/>
            </w:pPr>
          </w:p>
        </w:tc>
        <w:tc>
          <w:tcPr>
            <w:tcW w:type="dxa" w:w="1134"/>
            <w:shd w:val="clear" w:color="auto" w:fill="F2F2F2"/>
          </w:tcPr>
          <w:p>
            <w:pPr>
              <w:pStyle w:val="Compact"/>
              <w:spacing w:before="0" w:after="0" w:line="240" w:lineRule="auto"/>
            </w:pPr>
          </w:p>
        </w:tc>
        <w:tc>
          <w:tcPr>
            <w:tcW w:type="dxa" w:w="850"/>
            <w:shd w:val="clear" w:color="auto" w:fill="F2F2F2"/>
          </w:tcPr>
          <w:p>
            <w:pPr>
              <w:pStyle w:val="Compact"/>
              <w:spacing w:before="0" w:after="0" w:line="240" w:lineRule="auto"/>
            </w:pPr>
          </w:p>
        </w:tc>
        <w:tc>
          <w:tcPr>
            <w:tcW w:type="dxa" w:w="1106"/>
            <w:shd w:val="clear" w:color="auto" w:fill="F2F2F2"/>
          </w:tcPr>
          <w:p>
            <w:pPr>
              <w:pStyle w:val="Compact"/>
              <w:spacing w:before="0" w:after="0" w:line="240" w:lineRule="auto"/>
              <w:jc w:val="left"/>
            </w:pPr>
            <w:r>
              <w:rPr>
                <w:sz w:val="18"/>
              </w:rPr>
              <w:t xml:space="preserve">[ ]</w:t>
            </w:r>
          </w:p>
        </w:tc>
      </w:tr>
    </w:tbl>
    <w:p>
      <w:pPr>
        <w:pStyle w:val="BodyText"/>
        <w:spacing w:before="0" w:after="120" w:line="269" w:lineRule="auto"/>
        <w:jc w:val="both"/>
      </w:pPr>
      <w:r>
        <w:t xml:space="preserve">[Where the balance never fell below the wrong credit:] The credit was not utilised; no interest under section 50(3) is proposed on Issue [ ].</w:t>
      </w:r>
    </w:p>
    <w:p>
      <w:pPr>
        <w:pStyle w:val="BlockText"/>
        <w:shd w:val="clear" w:color="auto" w:fill="E7E6E6"/>
      </w:pPr>
      <w:r>
        <w:rPr>
          <w:bCs/>
          <w:b/>
          <w:sz w:val="21"/>
        </w:rPr>
        <w:t xml:space="preserve">Drafting note (Part 7).</w:t>
      </w:r>
      <w:r>
        <w:rPr>
          <w:sz w:val="21"/>
        </w:rPr>
        <w:t xml:space="preserve"> </w:t>
      </w:r>
      <w:r>
        <w:rPr>
          <w:sz w:val="21"/>
        </w:rPr>
        <w:t xml:space="preserve">Always name the sub-section. Never propose</w:t>
      </w:r>
      <w:r>
        <w:rPr>
          <w:sz w:val="21"/>
        </w:rPr>
        <w:t xml:space="preserve"> </w:t>
      </w:r>
      <w:r>
        <w:rPr>
          <w:sz w:val="21"/>
        </w:rPr>
        <w:t xml:space="preserve">“</w:t>
      </w:r>
      <w:r>
        <w:rPr>
          <w:sz w:val="21"/>
        </w:rPr>
        <w:t xml:space="preserve">interest at the applicable rate under section 50</w:t>
      </w:r>
      <w:r>
        <w:rPr>
          <w:sz w:val="21"/>
        </w:rPr>
        <w:t xml:space="preserve">”</w:t>
      </w:r>
      <w:r>
        <w:rPr>
          <w:sz w:val="21"/>
        </w:rPr>
        <w:t xml:space="preserve"> </w:t>
      </w:r>
      <w:r>
        <w:rPr>
          <w:sz w:val="21"/>
        </w:rPr>
        <w:t xml:space="preserve">without figures. Interest on self-assessed tax that the taxpayer does not dispute is recovered through DRC-01D (rule 142B), not through this notice (A2 module 10). Give credit for any interest paid with a DRC-03.</w:t>
      </w:r>
    </w:p>
    <w:p>
      <w:pPr>
        <w:pStyle w:val="FirstParagraph"/>
        <w:keepNext/>
        <w:spacing w:before="240" w:after="80"/>
        <w:pBdr>
          <w:bottom w:val="single" w:sz="6" w:space="1" w:color="B4C6E7"/>
        </w:pBdr>
      </w:pPr>
      <w:r>
        <w:rPr>
          <w:bCs/>
          <w:b/>
          <w:color w:val="1F3864"/>
          <w:sz w:val="25"/>
        </w:rPr>
        <w:t xml:space="preserve">8. Penalty</w:t>
      </w:r>
    </w:p>
    <w:p>
      <w:pPr>
        <w:pStyle w:val="BodyText"/>
        <w:spacing w:before="0" w:after="120" w:line="269" w:lineRule="auto"/>
        <w:jc w:val="both"/>
      </w:pPr>
      <w:r>
        <w:t xml:space="preserve">8.1 [Keep one.]</w:t>
      </w:r>
      <w:r>
        <w:t xml:space="preserve"> </w:t>
      </w:r>
      <w:r>
        <w:t xml:space="preserve">-</w:t>
      </w:r>
      <w:r>
        <w:t xml:space="preserve"> </w:t>
      </w:r>
      <w:r>
        <w:rPr>
          <w:bCs/>
          <w:b/>
        </w:rPr>
        <w:t xml:space="preserve">[S.73]</w:t>
      </w:r>
      <w:r>
        <w:t xml:space="preserve"> </w:t>
      </w:r>
      <w:r>
        <w:t xml:space="preserve">Penalty under section 73(9): ten per cent of the tax or ₹10,000, whichever is higher, amounting to ₹[ ] [CGST ₹[ ], SGST ₹[ ], IGST ₹[ ]].</w:t>
      </w:r>
      <w:r>
        <w:t xml:space="preserve"> </w:t>
      </w:r>
      <w:r>
        <w:t xml:space="preserve">-</w:t>
      </w:r>
      <w:r>
        <w:t xml:space="preserve"> </w:t>
      </w:r>
      <w:r>
        <w:rPr>
          <w:bCs/>
          <w:b/>
        </w:rPr>
        <w:t xml:space="preserve">[S.74]</w:t>
      </w:r>
      <w:r>
        <w:t xml:space="preserve"> </w:t>
      </w:r>
      <w:r>
        <w:t xml:space="preserve">Penalty under section 74(1), equal to the tax specified in this notice: ₹[ ] [CGST ₹[ ], SGST ₹[ ], IGST ₹[ ]].</w:t>
      </w:r>
      <w:r>
        <w:t xml:space="preserve"> </w:t>
      </w:r>
      <w:r>
        <w:t xml:space="preserve">-</w:t>
      </w:r>
      <w:r>
        <w:t xml:space="preserve"> </w:t>
      </w:r>
      <w:r>
        <w:rPr>
          <w:bCs/>
          <w:b/>
        </w:rPr>
        <w:t xml:space="preserve">[S.74A(i)]</w:t>
      </w:r>
      <w:r>
        <w:t xml:space="preserve"> </w:t>
      </w:r>
      <w:r>
        <w:t xml:space="preserve">Penalty under section 74A(5)(i): ten per cent of the tax or ₹10,000, whichever is higher: ₹[ ].</w:t>
      </w:r>
      <w:r>
        <w:t xml:space="preserve"> </w:t>
      </w:r>
      <w:r>
        <w:t xml:space="preserve">-</w:t>
      </w:r>
      <w:r>
        <w:t xml:space="preserve"> </w:t>
      </w:r>
      <w:r>
        <w:rPr>
          <w:bCs/>
          <w:b/>
        </w:rPr>
        <w:t xml:space="preserve">[S.74A(ii)]</w:t>
      </w:r>
      <w:r>
        <w:t xml:space="preserve"> </w:t>
      </w:r>
      <w:r>
        <w:t xml:space="preserve">Penalty under section 74A(5)(ii), equal to the tax: ₹[ ], for the reasons in Part 5.</w:t>
      </w:r>
    </w:p>
    <w:p>
      <w:pPr>
        <w:pStyle w:val="BodyText"/>
        <w:spacing w:before="0" w:after="120" w:line="269" w:lineRule="auto"/>
      </w:pPr>
      <w:r>
        <w:t xml:space="preserve">8.2 No penalty is proposed under any other provision for the same act or omission (section 75(13)).</w:t>
      </w:r>
    </w:p>
    <w:p>
      <w:pPr>
        <w:pStyle w:val="BodyText"/>
        <w:spacing w:before="0" w:after="120" w:line="269" w:lineRule="auto"/>
        <w:jc w:val="both"/>
      </w:pPr>
      <w:r>
        <w:t xml:space="preserve">8.3 [Only where a separate act attracts a separate penalty.] A penalty of ₹[ ] under section 122(1)([clause]) is proposed for [the separate act, e.g. </w:t>
      </w:r>
      <w:r>
        <w:t xml:space="preserve">“</w:t>
      </w:r>
      <w:r>
        <w:t xml:space="preserve">failure to obtain registration from [date]</w:t>
      </w:r>
      <w:r>
        <w:t xml:space="preserve">”</w:t>
      </w:r>
      <w:r>
        <w:t xml:space="preserve">], which is a different act from the short payment covered by para 8.1, because [reason]. [Co-noticee: a penalty of ₹[ ] under section 122(1A) is proposed on [name, role], who retained the benefit of the transactions in para 3.[ ] covered by clause [(i) / (ii) / (vii) / (ix)] of section 122(1), conducted at his instance on or after 01.01.2021, as shown by [evidence, RUD-[ ]].]</w:t>
      </w:r>
    </w:p>
    <w:p>
      <w:pPr>
        <w:pStyle w:val="BlockText"/>
        <w:shd w:val="clear" w:color="auto" w:fill="E7E6E6"/>
      </w:pPr>
      <w:r>
        <w:rPr>
          <w:bCs/>
          <w:b/>
          <w:sz w:val="21"/>
        </w:rPr>
        <w:t xml:space="preserve">Drafting note (Part 8).</w:t>
      </w:r>
      <w:r>
        <w:rPr>
          <w:sz w:val="21"/>
        </w:rPr>
        <w:t xml:space="preserve"> </w:t>
      </w:r>
      <w:r>
        <w:rPr>
          <w:sz w:val="21"/>
        </w:rPr>
        <w:t xml:space="preserve">Do not write</w:t>
      </w:r>
      <w:r>
        <w:rPr>
          <w:sz w:val="21"/>
        </w:rPr>
        <w:t xml:space="preserve"> </w:t>
      </w:r>
      <w:r>
        <w:rPr>
          <w:sz w:val="21"/>
        </w:rPr>
        <w:t xml:space="preserve">“</w:t>
      </w:r>
      <w:r>
        <w:rPr>
          <w:sz w:val="21"/>
        </w:rPr>
        <w:t xml:space="preserve">section 73 read with section 122(2)(a)</w:t>
      </w:r>
      <w:r>
        <w:rPr>
          <w:sz w:val="21"/>
        </w:rPr>
        <w:t xml:space="preserve">”</w:t>
      </w:r>
      <w:r>
        <w:rPr>
          <w:sz w:val="21"/>
        </w:rPr>
        <w:t xml:space="preserve"> </w:t>
      </w:r>
      <w:r>
        <w:rPr>
          <w:sz w:val="21"/>
        </w:rPr>
        <w:t xml:space="preserve">or</w:t>
      </w:r>
      <w:r>
        <w:rPr>
          <w:sz w:val="21"/>
        </w:rPr>
        <w:t xml:space="preserve"> </w:t>
      </w:r>
      <w:r>
        <w:rPr>
          <w:sz w:val="21"/>
        </w:rPr>
        <w:t xml:space="preserve">“</w:t>
      </w:r>
      <w:r>
        <w:rPr>
          <w:sz w:val="21"/>
        </w:rPr>
        <w:t xml:space="preserve">section 74 read with section 122(2)(b)</w:t>
      </w:r>
      <w:r>
        <w:rPr>
          <w:sz w:val="21"/>
        </w:rPr>
        <w:t xml:space="preserve">”</w:t>
      </w:r>
      <w:r>
        <w:rPr>
          <w:sz w:val="21"/>
        </w:rPr>
        <w:t xml:space="preserve">: that is two provisions for one act. Do not add section 125 where a specific penalty or a late fee applies. Under Circular No. 171/03/2022-GST, a recipient who availed and utilised fake credit faces tax, interest and penalty under section 74 and no section 122 penalty for the same act. Section 122(1A) is used only for acts on or after 01.01.2021, with the person’s role, the clause and the benefit retained stated; the High Courts are divided on whether it reaches a person who is not a taxable person. Where the main noticee pays and the proceedings are concluded, proceedings for section 122 and 125 penalties against co-noticees are deemed concluded (Explanation 1(ii) to sections 74 and 74A). Where the CGST and SGST penalties are shown separately, work out the ₹10,000 minimum consistently and say how.</w:t>
      </w:r>
    </w:p>
    <w:p>
      <w:pPr>
        <w:pStyle w:val="FirstParagraph"/>
        <w:keepNext/>
        <w:spacing w:before="240" w:after="80"/>
        <w:pBdr>
          <w:bottom w:val="single" w:sz="6" w:space="1" w:color="B4C6E7"/>
        </w:pBdr>
      </w:pPr>
      <w:r>
        <w:rPr>
          <w:bCs/>
          <w:b/>
          <w:color w:val="1F3864"/>
          <w:sz w:val="25"/>
        </w:rPr>
        <w:t xml:space="preserve">9. Documents relied on</w:t>
      </w:r>
    </w:p>
    <w:p>
      <w:pPr>
        <w:pStyle w:val="BodyText"/>
        <w:spacing w:before="0" w:after="120" w:line="269" w:lineRule="auto"/>
        <w:jc w:val="both"/>
      </w:pPr>
      <w:r>
        <w:t xml:space="preserve">9.1 This notice relies on the documents listed in</w:t>
      </w:r>
      <w:r>
        <w:t xml:space="preserve"> </w:t>
      </w:r>
      <w:r>
        <w:rPr>
          <w:bCs/>
          <w:b/>
        </w:rPr>
        <w:t xml:space="preserve">Annexure B</w:t>
      </w:r>
      <w:r>
        <w:t xml:space="preserve">. Copies of all of them are</w:t>
      </w:r>
      <w:r>
        <w:t xml:space="preserve"> </w:t>
      </w:r>
      <w:r>
        <w:rPr>
          <w:bCs/>
          <w:b/>
        </w:rPr>
        <w:t xml:space="preserve">enclosed</w:t>
      </w:r>
      <w:r>
        <w:t xml:space="preserve"> </w:t>
      </w:r>
      <w:r>
        <w:t xml:space="preserve">with this notice and uploaded with the DRC-01 [except RUD-[ ], the noticee’s own returns, which are available to it on the common portal].</w:t>
      </w:r>
    </w:p>
    <w:p>
      <w:pPr>
        <w:pStyle w:val="BodyText"/>
        <w:spacing w:before="0" w:after="120" w:line="269" w:lineRule="auto"/>
        <w:jc w:val="both"/>
      </w:pPr>
      <w:r>
        <w:t xml:space="preserve">9.2 Documents seized or obtained during the inquiry and not listed in Annexure B are not relied on. They may be collected from the Superintendent, [Range], Sangareddy CGST Division, [address], within thirty days of receipt of this notice.</w:t>
      </w:r>
    </w:p>
    <w:p>
      <w:pPr>
        <w:pStyle w:val="BodyText"/>
        <w:spacing w:before="0" w:after="120" w:line="269" w:lineRule="auto"/>
        <w:jc w:val="both"/>
      </w:pPr>
      <w:r>
        <w:t xml:space="preserve">9.3 The noticee may inspect the originals of the documents in Annexure B at this office on any working day between [11:00] and [16:00] hours, with prior intimation, before [DD.MM.YYYY].</w:t>
      </w:r>
    </w:p>
    <w:p>
      <w:pPr>
        <w:pStyle w:val="BodyText"/>
        <w:keepNext/>
        <w:spacing w:before="240" w:after="80"/>
        <w:pBdr>
          <w:bottom w:val="single" w:sz="6" w:space="1" w:color="B4C6E7"/>
        </w:pBdr>
      </w:pPr>
      <w:r>
        <w:rPr>
          <w:bCs/>
          <w:b/>
          <w:color w:val="1F3864"/>
          <w:sz w:val="25"/>
        </w:rPr>
        <w:t xml:space="preserve">10. Your rights, payment options, reply and hearing</w:t>
      </w:r>
    </w:p>
    <w:p>
      <w:pPr>
        <w:pStyle w:val="BodyText"/>
        <w:spacing w:before="0" w:after="120" w:line="269" w:lineRule="auto"/>
        <w:jc w:val="both"/>
      </w:pPr>
      <w:r>
        <w:t xml:space="preserve">10.1</w:t>
      </w:r>
      <w:r>
        <w:t xml:space="preserve"> </w:t>
      </w:r>
      <w:r>
        <w:rPr>
          <w:bCs/>
          <w:b/>
        </w:rPr>
        <w:t xml:space="preserve">Paying to close the case.</w:t>
      </w:r>
      <w:r>
        <w:t xml:space="preserve"> </w:t>
      </w:r>
      <w:r>
        <w:t xml:space="preserve">[Keep one.]</w:t>
      </w:r>
      <w:r>
        <w:t xml:space="preserve"> </w:t>
      </w:r>
      <w:r>
        <w:t xml:space="preserve">-</w:t>
      </w:r>
      <w:r>
        <w:t xml:space="preserve"> </w:t>
      </w:r>
      <w:r>
        <w:rPr>
          <w:bCs/>
          <w:b/>
        </w:rPr>
        <w:t xml:space="preserve">[S.73]</w:t>
      </w:r>
      <w:r>
        <w:t xml:space="preserve"> </w:t>
      </w:r>
      <w:r>
        <w:t xml:space="preserve">If you pay the tax proposed with interest under section 50 within thirty days of the issue of this notice, that is on or before</w:t>
      </w:r>
      <w:r>
        <w:t xml:space="preserve"> </w:t>
      </w:r>
      <w:r>
        <w:rPr>
          <w:bCs/>
          <w:b/>
        </w:rPr>
        <w:t xml:space="preserve">[DD.MM.YYYY]</w:t>
      </w:r>
      <w:r>
        <w:t xml:space="preserve">, no penalty is payable and all proceedings in respect of this notice shall be deemed to be concluded (section 73(8)). [Where Issue [ ] is self-assessed tax or tax collected and not paid within thirty days of its due date: the penalty under section 73(9) remains payable on that issue even if you pay within thirty days (section 73(11)).]</w:t>
      </w:r>
      <w:r>
        <w:t xml:space="preserve"> </w:t>
      </w:r>
      <w:r>
        <w:t xml:space="preserve">-</w:t>
      </w:r>
      <w:r>
        <w:t xml:space="preserve"> </w:t>
      </w:r>
      <w:r>
        <w:rPr>
          <w:bCs/>
          <w:b/>
        </w:rPr>
        <w:t xml:space="preserve">[S.74]</w:t>
      </w:r>
      <w:r>
        <w:t xml:space="preserve"> </w:t>
      </w:r>
      <w:r>
        <w:t xml:space="preserve">If you pay the tax proposed with interest under section 50 and a penalty equal to twenty-five per cent of the tax within thirty days of the issue of this notice, that is on or before</w:t>
      </w:r>
      <w:r>
        <w:t xml:space="preserve"> </w:t>
      </w:r>
      <w:r>
        <w:rPr>
          <w:bCs/>
          <w:b/>
        </w:rPr>
        <w:t xml:space="preserve">[DD.MM.YYYY]</w:t>
      </w:r>
      <w:r>
        <w:t xml:space="preserve">, all proceedings in respect of this notice shall be deemed to be concluded (section 74(8)). If an order is passed, you may still pay the tax, interest and a penalty of fifty per cent of the tax within thirty days of communication of the order (section 74(11)).</w:t>
      </w:r>
      <w:r>
        <w:t xml:space="preserve"> </w:t>
      </w:r>
      <w:r>
        <w:t xml:space="preserve">-</w:t>
      </w:r>
      <w:r>
        <w:t xml:space="preserve"> </w:t>
      </w:r>
      <w:r>
        <w:rPr>
          <w:bCs/>
          <w:b/>
        </w:rPr>
        <w:t xml:space="preserve">[S.74A(i)]</w:t>
      </w:r>
      <w:r>
        <w:t xml:space="preserve"> </w:t>
      </w:r>
      <w:r>
        <w:t xml:space="preserve">If you pay the tax proposed with interest under section 50 within sixty days of the issue of this notice, that is on or before</w:t>
      </w:r>
      <w:r>
        <w:t xml:space="preserve"> </w:t>
      </w:r>
      <w:r>
        <w:rPr>
          <w:bCs/>
          <w:b/>
        </w:rPr>
        <w:t xml:space="preserve">[DD.MM.YYYY]</w:t>
      </w:r>
      <w:r>
        <w:t xml:space="preserve">, no penalty is payable and all proceedings in respect of this notice shall be deemed to be concluded (section 74A(8)(ii)). [Self-assessed tax or tax collected not paid within thirty days of its due date: the penalty under section 74A(5)(i) remains payable (section 74A(11)).]</w:t>
      </w:r>
      <w:r>
        <w:t xml:space="preserve"> </w:t>
      </w:r>
      <w:r>
        <w:t xml:space="preserve">-</w:t>
      </w:r>
      <w:r>
        <w:t xml:space="preserve"> </w:t>
      </w:r>
      <w:r>
        <w:rPr>
          <w:bCs/>
          <w:b/>
        </w:rPr>
        <w:t xml:space="preserve">[S.74A(ii)]</w:t>
      </w:r>
      <w:r>
        <w:t xml:space="preserve"> </w:t>
      </w:r>
      <w:r>
        <w:t xml:space="preserve">If you pay the tax proposed with interest under section 50 and a penalty equal to twenty-five per cent of the tax within sixty days of the issue of this notice, that is on or before</w:t>
      </w:r>
      <w:r>
        <w:t xml:space="preserve"> </w:t>
      </w:r>
      <w:r>
        <w:rPr>
          <w:bCs/>
          <w:b/>
        </w:rPr>
        <w:t xml:space="preserve">[DD.MM.YYYY]</w:t>
      </w:r>
      <w:r>
        <w:t xml:space="preserve">, all proceedings in respect of this notice shall be deemed to be concluded (section 74A(9)(ii)). If an order is passed, you may still pay the tax, interest and a penalty of fifty per cent of the tax within sixty days of communication of the order (section 74A(9)(iii)).</w:t>
      </w:r>
    </w:p>
    <w:p>
      <w:pPr>
        <w:pStyle w:val="BodyText"/>
        <w:spacing w:before="0" w:after="120" w:line="269" w:lineRule="auto"/>
        <w:jc w:val="both"/>
      </w:pPr>
      <w:r>
        <w:t xml:space="preserve">Payment is made through the common portal and intimated in FORM GST DRC-03; this office will then issue FORM GST DRC-05 concluding the proceedings (rule 142(3)). A payment of part of the amount does not conclude the proceedings for the rest.</w:t>
      </w:r>
    </w:p>
    <w:p>
      <w:pPr>
        <w:pStyle w:val="BodyText"/>
        <w:spacing w:before="0" w:after="120" w:line="269" w:lineRule="auto"/>
        <w:jc w:val="both"/>
      </w:pPr>
      <w:r>
        <w:t xml:space="preserve">10.2</w:t>
      </w:r>
      <w:r>
        <w:t xml:space="preserve"> </w:t>
      </w:r>
      <w:r>
        <w:rPr>
          <w:bCs/>
          <w:b/>
        </w:rPr>
        <w:t xml:space="preserve">Reply.</w:t>
      </w:r>
      <w:r>
        <w:t xml:space="preserve"> </w:t>
      </w:r>
      <w:r>
        <w:t xml:space="preserve">You may reply to this notice in FORM GST DRC-06 on the common portal (rule 142(4)) within</w:t>
      </w:r>
      <w:r>
        <w:t xml:space="preserve"> </w:t>
      </w:r>
      <w:r>
        <w:rPr>
          <w:bCs/>
          <w:b/>
        </w:rPr>
        <w:t xml:space="preserve">thirty days of its receipt</w:t>
      </w:r>
      <w:r>
        <w:t xml:space="preserve">, with every document you rely on. Please answer each issue separately and refer to the paragraph numbers of this notice. If you need more time, ask in writing before that date, giving the reason.</w:t>
      </w:r>
    </w:p>
    <w:p>
      <w:pPr>
        <w:pStyle w:val="BodyText"/>
        <w:spacing w:before="0" w:after="120" w:line="269" w:lineRule="auto"/>
        <w:jc w:val="both"/>
      </w:pPr>
      <w:r>
        <w:t xml:space="preserve">10.3</w:t>
      </w:r>
      <w:r>
        <w:t xml:space="preserve"> </w:t>
      </w:r>
      <w:r>
        <w:rPr>
          <w:bCs/>
          <w:b/>
        </w:rPr>
        <w:t xml:space="preserve">Inspection and cross-examination.</w:t>
      </w:r>
      <w:r>
        <w:t xml:space="preserve"> </w:t>
      </w:r>
      <w:r>
        <w:t xml:space="preserve">If you wish to inspect any document in Annexure B (para 9.3) or to cross-examine any person whose statement is relied on (RUD-[ ]), please ask in writing by</w:t>
      </w:r>
      <w:r>
        <w:t xml:space="preserve"> </w:t>
      </w:r>
      <w:r>
        <w:rPr>
          <w:bCs/>
          <w:b/>
        </w:rPr>
        <w:t xml:space="preserve">[DD.MM.YYYY]</w:t>
      </w:r>
      <w:r>
        <w:t xml:space="preserve">, giving the reason. Each request will be decided by a separate reasoned communication before the hearing.</w:t>
      </w:r>
    </w:p>
    <w:p>
      <w:pPr>
        <w:pStyle w:val="BodyText"/>
        <w:spacing w:before="0" w:after="120" w:line="269" w:lineRule="auto"/>
        <w:jc w:val="both"/>
      </w:pPr>
      <w:r>
        <w:t xml:space="preserve">10.4</w:t>
      </w:r>
      <w:r>
        <w:t xml:space="preserve"> </w:t>
      </w:r>
      <w:r>
        <w:rPr>
          <w:bCs/>
          <w:b/>
        </w:rPr>
        <w:t xml:space="preserve">Personal hearing.</w:t>
      </w:r>
      <w:r>
        <w:t xml:space="preserve"> </w:t>
      </w:r>
      <w:r>
        <w:t xml:space="preserve">A personal hearing is fixed before the undersigned on</w:t>
      </w:r>
      <w:r>
        <w:t xml:space="preserve"> </w:t>
      </w:r>
      <w:r>
        <w:rPr>
          <w:bCs/>
          <w:b/>
        </w:rPr>
        <w:t xml:space="preserve">[DD.MM.YYYY] at [HH:MM] hours</w:t>
      </w:r>
      <w:r>
        <w:t xml:space="preserve"> </w:t>
      </w:r>
      <w:r>
        <w:t xml:space="preserve">at</w:t>
      </w:r>
      <w:r>
        <w:t xml:space="preserve"> </w:t>
      </w:r>
      <w:r>
        <w:rPr>
          <w:bCs/>
          <w:b/>
        </w:rPr>
        <w:t xml:space="preserve">[room, office address]</w:t>
      </w:r>
      <w:r>
        <w:t xml:space="preserve"> </w:t>
      </w:r>
      <w:r>
        <w:t xml:space="preserve">/</w:t>
      </w:r>
      <w:r>
        <w:t xml:space="preserve"> </w:t>
      </w:r>
      <w:r>
        <w:rPr>
          <w:bCs/>
          <w:b/>
        </w:rPr>
        <w:t xml:space="preserve">by video conference</w:t>
      </w:r>
      <w:r>
        <w:t xml:space="preserve"> </w:t>
      </w:r>
      <w:r>
        <w:t xml:space="preserve">(the link will be sent to your registered e-mail [ ] one day before). The hearing is granted under section 75(4) whether or not you file a reply, and whatever you indicate in DRC-06. You may appear in person or through an authorised representative under section 116, with a letter of authority. If you cannot attend, ask in writing before that date, giving the reason; time may be granted for sufficient cause, not more than three times in these proceedings (section 75(5)). Any change of date will be by a separate written notice. If you do not appear on the dates given, the case will be decided on the record available, after considering any reply filed.</w:t>
      </w:r>
    </w:p>
    <w:p>
      <w:pPr>
        <w:pStyle w:val="BodyText"/>
        <w:spacing w:before="0" w:after="120" w:line="269" w:lineRule="auto"/>
        <w:jc w:val="both"/>
      </w:pPr>
      <w:r>
        <w:t xml:space="preserve">10.5</w:t>
      </w:r>
      <w:r>
        <w:t xml:space="preserve"> </w:t>
      </w:r>
      <w:r>
        <w:rPr>
          <w:bCs/>
          <w:b/>
        </w:rPr>
        <w:t xml:space="preserve">Now, therefore,</w:t>
      </w:r>
      <w:r>
        <w:t xml:space="preserve"> </w:t>
      </w:r>
      <w:r>
        <w:t xml:space="preserve">you, [legal name], GSTIN [ ], are hereby required to show cause to the undersigned, Assistant Commissioner of Central Tax, Sangareddy CGST Division, Medchal CGST Commissionerate, within thirty days of receipt of this notice, why:</w:t>
      </w:r>
    </w:p>
    <w:p>
      <w:pPr>
        <w:numPr>
          <w:ilvl w:val="0"/>
          <w:numId w:val="1001"/>
        </w:numPr>
        <w:spacing w:before="0" w:after="120" w:line="269" w:lineRule="auto"/>
        <w:jc w:val="both"/>
      </w:pPr>
      <w:r>
        <w:t xml:space="preserve">[Issue 1] [central tax ₹[ ], State tax ₹[ ], integrated tax ₹[ ], cess ₹[ ], total ₹[ ]], being [input tax credit wrongly availed [and utilised] in contravention of [section 16(2)(aa) read with rule 36(4)]] / [tax not paid on [ ]], for [period], should not be demanded and recovered from you under section [73(1)] [74(1)] [74A(1)] of the CGST Act read with the corresponding provisions of the TGST Act [and section 20 of the IGST Act];</w:t>
      </w:r>
    </w:p>
    <w:p>
      <w:pPr>
        <w:numPr>
          <w:ilvl w:val="0"/>
          <w:numId w:val="1001"/>
        </w:numPr>
        <w:spacing w:before="0" w:after="120" w:line="269" w:lineRule="auto"/>
      </w:pPr>
      <w:r>
        <w:t xml:space="preserve">[Issue 2] [ ] should not be demanded and recovered from you under section [ ];</w:t>
      </w:r>
    </w:p>
    <w:p>
      <w:pPr>
        <w:numPr>
          <w:ilvl w:val="0"/>
          <w:numId w:val="1001"/>
        </w:numPr>
        <w:spacing w:before="0" w:after="120" w:line="269" w:lineRule="auto"/>
        <w:jc w:val="both"/>
      </w:pPr>
      <w:r>
        <w:t xml:space="preserve">interest of ₹[ ] up to the date of this notice, and further interest until the date of payment, should not be demanded and recovered from you under section [50(1)] [50(3)] on the amounts at (i) and (ii), as worked out in Part 7;</w:t>
      </w:r>
    </w:p>
    <w:p>
      <w:pPr>
        <w:numPr>
          <w:ilvl w:val="0"/>
          <w:numId w:val="1001"/>
        </w:numPr>
        <w:spacing w:before="0" w:after="120" w:line="269" w:lineRule="auto"/>
        <w:jc w:val="both"/>
      </w:pPr>
      <w:r>
        <w:t xml:space="preserve">a penalty of ₹[ ] should not be imposed on you under section [73(9)] [74(1)] [74A(5)(i)] [74A(5)(ii)] on the amounts at (i) and (ii);</w:t>
      </w:r>
    </w:p>
    <w:p>
      <w:pPr>
        <w:numPr>
          <w:ilvl w:val="0"/>
          <w:numId w:val="1001"/>
        </w:numPr>
        <w:spacing w:before="0" w:after="120" w:line="269" w:lineRule="auto"/>
        <w:jc w:val="both"/>
      </w:pPr>
      <w:r>
        <w:t xml:space="preserve">[only where para 8.3 applies] a penalty of ₹[ ] should not be imposed on you under section 122(1)([clause]) for [the separate act];</w:t>
      </w:r>
    </w:p>
    <w:p>
      <w:pPr>
        <w:numPr>
          <w:ilvl w:val="0"/>
          <w:numId w:val="1001"/>
        </w:numPr>
        <w:spacing w:before="0" w:after="120" w:line="269" w:lineRule="auto"/>
        <w:jc w:val="both"/>
      </w:pPr>
      <w:r>
        <w:t xml:space="preserve">[only where para 1.4 applies] the amount of ₹[ ] paid through DRC-03 ARN [ ] dated [DD.MM.YYYY] should not be appropriated against the amounts at (i) [and (iii)].</w:t>
      </w:r>
    </w:p>
    <w:p>
      <w:pPr>
        <w:pStyle w:val="FirstParagraph"/>
        <w:spacing w:before="0" w:after="120" w:line="269" w:lineRule="auto"/>
        <w:jc w:val="both"/>
      </w:pPr>
      <w:r>
        <w:t xml:space="preserve">10.6 [Optional, for an alternative ground.] The demand at (ii) is proposed in the alternative to the demand at (i); it will be considered only if (i) is not confirmed, and confirmation of one shall exclude confirmation of the other.</w:t>
      </w:r>
    </w:p>
    <w:p>
      <w:pPr>
        <w:pStyle w:val="BodyText"/>
        <w:spacing w:before="0" w:after="120" w:line="269" w:lineRule="auto"/>
        <w:jc w:val="both"/>
      </w:pPr>
      <w:r>
        <w:t xml:space="preserve">10.7 [Co-noticee, if any.] [Name], [designation / role], [address], is required to show cause to the undersigned within thirty days of receipt of this notice why a penalty of ₹[ ] should not be imposed on him under section 122(1A) for the reasons in para 8.3.</w:t>
      </w:r>
    </w:p>
    <w:p>
      <w:pPr>
        <w:pStyle w:val="BodyText"/>
        <w:spacing w:before="0" w:after="120" w:line="269" w:lineRule="auto"/>
        <w:jc w:val="both"/>
      </w:pPr>
      <w:r>
        <w:t xml:space="preserve">10.8 This notice is issued without prejudice to any other action that may be taken under the CGST Act or any other law. Any correction of this notice will be made only by a corrigendum or a further notice served on you, with time to reply.</w:t>
      </w:r>
    </w:p>
    <w:p>
      <w:pPr>
        <w:pStyle w:val="BodyText"/>
        <w:spacing w:before="0" w:after="120" w:line="269" w:lineRule="auto"/>
        <w:jc w:val="both"/>
      </w:pPr>
      <w:r>
        <w:t xml:space="preserve">10.9</w:t>
      </w:r>
      <w:r>
        <w:t xml:space="preserve"> </w:t>
      </w:r>
      <w:r>
        <w:rPr>
          <w:bCs/>
          <w:b/>
        </w:rPr>
        <w:t xml:space="preserve">Service.</w:t>
      </w:r>
      <w:r>
        <w:t xml:space="preserve"> </w:t>
      </w:r>
      <w:r>
        <w:t xml:space="preserve">This notice, its annexures and the DRC-01 summary are served on the common portal (RFN [ ]) and by e-mail to the registered e-mail address [ ] [and by speed post, article No. [ ], to [address]] (section 169(1)(c), (d) [and (b)]). [Where the address is doubtful or the business is not found: also by affixing at the last known place of business on [date] / publication in [newspaper] on [date] (section 169(1)(e), (f)).]</w:t>
      </w:r>
    </w:p>
    <w:p>
      <w:pPr>
        <w:pStyle w:val="BodyText"/>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r>
        <w:br/>
      </w:r>
      <w:r>
        <w:t xml:space="preserve">(digitally signed)</w:t>
      </w:r>
    </w:p>
    <w:p>
      <w:pPr>
        <w:pStyle w:val="BodyText"/>
        <w:spacing w:before="0" w:after="120" w:line="269" w:lineRule="auto"/>
        <w:jc w:val="both"/>
      </w:pPr>
      <w:r>
        <w:t xml:space="preserve">To,</w:t>
      </w:r>
      <w:r>
        <w:br/>
      </w:r>
      <w:r>
        <w:t xml:space="preserve">[Legal name], GSTIN [ ] / Temporary ID [ ], [address] (through the common portal, by e-mail to [registered e-mail] [and by speed post])</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Superintendent, [Range], Sangareddy CGST Division, for service and proof of service, and for entry in the demand register.</w:t>
      </w:r>
    </w:p>
    <w:p>
      <w:pPr>
        <w:numPr>
          <w:ilvl w:val="0"/>
          <w:numId w:val="1002"/>
        </w:numPr>
        <w:pStyle w:val="Compact"/>
        <w:spacing w:before="0" w:after="120" w:line="269" w:lineRule="auto"/>
      </w:pPr>
      <w:r>
        <w:t xml:space="preserve">[For an audit or DGGI case: the [Additional / Joint Commissioner (Audit) / DGGI office], for information.]</w:t>
      </w:r>
    </w:p>
    <w:p>
      <w:pPr>
        <w:numPr>
          <w:ilvl w:val="0"/>
          <w:numId w:val="1002"/>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A: Workings for each issue</w:t>
      </w:r>
    </w:p>
    <w:p>
      <w:pPr>
        <w:pStyle w:val="BodyText"/>
        <w:spacing w:before="0" w:after="120" w:line="269" w:lineRule="auto"/>
        <w:jc w:val="both"/>
      </w:pPr>
      <w:r>
        <w:t xml:space="preserve">[Attach the invoice-wise, supplier-wise or month-wise working sheet for each issue, signed digitally. Each working sheet shows its source (return table, download date, document number).]</w:t>
      </w:r>
    </w:p>
    <w:p>
      <w:pPr>
        <w:pStyle w:val="BodyText"/>
        <w:keepNext/>
        <w:spacing w:before="240" w:after="80"/>
        <w:pBdr>
          <w:bottom w:val="single" w:sz="6" w:space="1" w:color="B4C6E7"/>
        </w:pBdr>
      </w:pPr>
      <w:r>
        <w:rPr>
          <w:bCs/>
          <w:b/>
          <w:color w:val="1F3864"/>
          <w:sz w:val="25"/>
        </w:rPr>
        <w:t xml:space="preserve">Annexure B: List of relied-upon documents (RUDs)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37"/>
        <w:gridCol w:w="5462"/>
        <w:gridCol w:w="1031"/>
        <w:gridCol w:w="937"/>
        <w:gridCol w:w="1272"/>
      </w:tblGrid>
      <w:tr>
        <w:trPr>
          <w:tblHeader w:val="true"/>
          <w:tblHeader/>
        </w:trPr>
        <w:tc>
          <w:tcPr>
            <w:tcW w:type="dxa" w:w="937"/>
            <w:shd w:val="clear" w:color="auto" w:fill="DCE6F1"/>
          </w:tcPr>
          <w:p>
            <w:pPr>
              <w:pStyle w:val="Compact"/>
              <w:spacing w:before="0" w:after="0" w:line="240" w:lineRule="auto"/>
              <w:jc w:val="left"/>
            </w:pPr>
            <w:r>
              <w:rPr>
                <w:b/>
                <w:color w:val="1F3864"/>
                <w:sz w:val="21"/>
              </w:rPr>
              <w:t xml:space="preserve">RUD No.</w:t>
            </w:r>
          </w:p>
        </w:tc>
        <w:tc>
          <w:tcPr>
            <w:tcW w:type="dxa" w:w="5462"/>
            <w:shd w:val="clear" w:color="auto" w:fill="DCE6F1"/>
          </w:tcPr>
          <w:p>
            <w:pPr>
              <w:pStyle w:val="Compact"/>
              <w:spacing w:before="0" w:after="0" w:line="240" w:lineRule="auto"/>
              <w:jc w:val="left"/>
            </w:pPr>
            <w:r>
              <w:rPr>
                <w:b/>
                <w:color w:val="1F3864"/>
                <w:sz w:val="21"/>
              </w:rPr>
              <w:t xml:space="preserve">Document</w:t>
            </w:r>
          </w:p>
        </w:tc>
        <w:tc>
          <w:tcPr>
            <w:tcW w:type="dxa" w:w="1031"/>
            <w:shd w:val="clear" w:color="auto" w:fill="DCE6F1"/>
          </w:tcPr>
          <w:p>
            <w:pPr>
              <w:pStyle w:val="Compact"/>
              <w:spacing w:before="0" w:after="0" w:line="240" w:lineRule="auto"/>
              <w:jc w:val="left"/>
            </w:pPr>
            <w:r>
              <w:rPr>
                <w:b/>
                <w:color w:val="1F3864"/>
                <w:sz w:val="21"/>
              </w:rPr>
              <w:t xml:space="preserve">Date / period</w:t>
            </w:r>
          </w:p>
        </w:tc>
        <w:tc>
          <w:tcPr>
            <w:tcW w:type="dxa" w:w="937"/>
            <w:shd w:val="clear" w:color="auto" w:fill="DCE6F1"/>
          </w:tcPr>
          <w:p>
            <w:pPr>
              <w:pStyle w:val="Compact"/>
              <w:spacing w:before="0" w:after="0" w:line="240" w:lineRule="auto"/>
              <w:jc w:val="left"/>
            </w:pPr>
            <w:r>
              <w:rPr>
                <w:b/>
                <w:color w:val="1F3864"/>
                <w:sz w:val="21"/>
              </w:rPr>
              <w:t xml:space="preserve">Pages</w:t>
            </w:r>
          </w:p>
        </w:tc>
        <w:tc>
          <w:tcPr>
            <w:tcW w:type="dxa" w:w="1272"/>
            <w:shd w:val="clear" w:color="auto" w:fill="DCE6F1"/>
          </w:tcPr>
          <w:p>
            <w:pPr>
              <w:pStyle w:val="Compact"/>
              <w:spacing w:before="0" w:after="0" w:line="240" w:lineRule="auto"/>
              <w:jc w:val="left"/>
            </w:pPr>
            <w:r>
              <w:rPr>
                <w:b/>
                <w:color w:val="1F3864"/>
                <w:sz w:val="21"/>
              </w:rPr>
              <w:t xml:space="preserve">How served</w:t>
            </w:r>
          </w:p>
        </w:tc>
      </w:tr>
      <w:tr>
        <w:tc>
          <w:tcPr>
            <w:tcW w:type="dxa" w:w="937"/>
          </w:tcPr>
          <w:p>
            <w:pPr>
              <w:pStyle w:val="Compact"/>
              <w:spacing w:before="0" w:after="0" w:line="240" w:lineRule="auto"/>
              <w:jc w:val="left"/>
            </w:pPr>
            <w:r>
              <w:rPr>
                <w:sz w:val="21"/>
              </w:rPr>
              <w:t xml:space="preserve">RUD-1</w:t>
            </w:r>
          </w:p>
        </w:tc>
        <w:tc>
          <w:tcPr>
            <w:tcW w:type="dxa" w:w="5462"/>
          </w:tcPr>
          <w:p>
            <w:pPr>
              <w:pStyle w:val="Compact"/>
              <w:spacing w:before="0" w:after="0" w:line="240" w:lineRule="auto"/>
              <w:jc w:val="left"/>
            </w:pPr>
            <w:r>
              <w:rPr>
                <w:sz w:val="21"/>
              </w:rPr>
              <w:t xml:space="preserve">[e.g. GSTR-3B for April 2023 to March 2024, Table 4]</w:t>
            </w:r>
          </w:p>
        </w:tc>
        <w:tc>
          <w:tcPr>
            <w:tcW w:type="dxa" w:w="1031"/>
          </w:tcPr>
          <w:p>
            <w:pPr>
              <w:pStyle w:val="Compact"/>
              <w:spacing w:before="0" w:after="0" w:line="240" w:lineRule="auto"/>
              <w:jc w:val="left"/>
            </w:pPr>
            <w:r>
              <w:rPr>
                <w:sz w:val="21"/>
              </w:rPr>
              <w:t xml:space="preserve">[ ]</w:t>
            </w:r>
          </w:p>
        </w:tc>
        <w:tc>
          <w:tcPr>
            <w:tcW w:type="dxa" w:w="937"/>
          </w:tcPr>
          <w:p>
            <w:pPr>
              <w:pStyle w:val="Compact"/>
              <w:spacing w:before="0" w:after="0" w:line="240" w:lineRule="auto"/>
              <w:jc w:val="left"/>
            </w:pPr>
            <w:r>
              <w:rPr>
                <w:sz w:val="21"/>
              </w:rPr>
              <w:t xml:space="preserve">[ ]</w:t>
            </w:r>
          </w:p>
        </w:tc>
        <w:tc>
          <w:tcPr>
            <w:tcW w:type="dxa" w:w="1272"/>
          </w:tcPr>
          <w:p>
            <w:pPr>
              <w:pStyle w:val="Compact"/>
              <w:spacing w:before="0" w:after="0" w:line="240" w:lineRule="auto"/>
              <w:jc w:val="left"/>
            </w:pPr>
            <w:r>
              <w:rPr>
                <w:sz w:val="21"/>
              </w:rPr>
              <w:t xml:space="preserve">Noticee’s own return, available on the portal</w:t>
            </w:r>
          </w:p>
        </w:tc>
      </w:tr>
      <w:tr>
        <w:tc>
          <w:tcPr>
            <w:tcW w:type="dxa" w:w="937"/>
          </w:tcPr>
          <w:p>
            <w:pPr>
              <w:pStyle w:val="Compact"/>
              <w:spacing w:before="0" w:after="0" w:line="240" w:lineRule="auto"/>
              <w:jc w:val="left"/>
            </w:pPr>
            <w:r>
              <w:rPr>
                <w:sz w:val="21"/>
              </w:rPr>
              <w:t xml:space="preserve">RUD-2</w:t>
            </w:r>
          </w:p>
        </w:tc>
        <w:tc>
          <w:tcPr>
            <w:tcW w:type="dxa" w:w="5462"/>
          </w:tcPr>
          <w:p>
            <w:pPr>
              <w:pStyle w:val="Compact"/>
              <w:spacing w:before="0" w:after="0" w:line="240" w:lineRule="auto"/>
              <w:jc w:val="left"/>
            </w:pPr>
            <w:r>
              <w:rPr>
                <w:sz w:val="21"/>
              </w:rPr>
              <w:t xml:space="preserve">[e.g. GSTR-2B for the same months, downloaded on [DD.MM.YYYY]]</w:t>
            </w:r>
          </w:p>
        </w:tc>
        <w:tc>
          <w:tcPr>
            <w:tcW w:type="dxa" w:w="1031"/>
          </w:tcPr>
          <w:p>
            <w:pPr>
              <w:pStyle w:val="Compact"/>
              <w:spacing w:before="0" w:after="0" w:line="240" w:lineRule="auto"/>
              <w:jc w:val="left"/>
            </w:pPr>
            <w:r>
              <w:rPr>
                <w:sz w:val="21"/>
              </w:rPr>
              <w:t xml:space="preserve">[ ]</w:t>
            </w:r>
          </w:p>
        </w:tc>
        <w:tc>
          <w:tcPr>
            <w:tcW w:type="dxa" w:w="937"/>
          </w:tcPr>
          <w:p>
            <w:pPr>
              <w:pStyle w:val="Compact"/>
              <w:spacing w:before="0" w:after="0" w:line="240" w:lineRule="auto"/>
              <w:jc w:val="left"/>
            </w:pPr>
            <w:r>
              <w:rPr>
                <w:sz w:val="21"/>
              </w:rPr>
              <w:t xml:space="preserve">[ ]</w:t>
            </w:r>
          </w:p>
        </w:tc>
        <w:tc>
          <w:tcPr>
            <w:tcW w:type="dxa" w:w="1272"/>
          </w:tcPr>
          <w:p>
            <w:pPr>
              <w:pStyle w:val="Compact"/>
              <w:spacing w:before="0" w:after="0" w:line="240" w:lineRule="auto"/>
              <w:jc w:val="left"/>
            </w:pPr>
            <w:r>
              <w:rPr>
                <w:sz w:val="21"/>
              </w:rPr>
              <w:t xml:space="preserve">Enclosed</w:t>
            </w:r>
          </w:p>
        </w:tc>
      </w:tr>
      <w:tr>
        <w:tc>
          <w:tcPr>
            <w:tcW w:type="dxa" w:w="937"/>
          </w:tcPr>
          <w:p>
            <w:pPr>
              <w:pStyle w:val="Compact"/>
              <w:spacing w:before="0" w:after="0" w:line="240" w:lineRule="auto"/>
              <w:jc w:val="left"/>
            </w:pPr>
            <w:r>
              <w:rPr>
                <w:sz w:val="21"/>
              </w:rPr>
              <w:t xml:space="preserve">RUD-3</w:t>
            </w:r>
          </w:p>
        </w:tc>
        <w:tc>
          <w:tcPr>
            <w:tcW w:type="dxa" w:w="5462"/>
          </w:tcPr>
          <w:p>
            <w:pPr>
              <w:pStyle w:val="Compact"/>
              <w:spacing w:before="0" w:after="0" w:line="240" w:lineRule="auto"/>
              <w:jc w:val="left"/>
            </w:pPr>
            <w:r>
              <w:rPr>
                <w:sz w:val="21"/>
              </w:rPr>
              <w:t xml:space="preserve">[e.g. ASMT-10 No. [ ] dated [ ] and the reply in ASMT-11 dated [ ]]</w:t>
            </w:r>
          </w:p>
        </w:tc>
        <w:tc>
          <w:tcPr>
            <w:tcW w:type="dxa" w:w="1031"/>
          </w:tcPr>
          <w:p>
            <w:pPr>
              <w:pStyle w:val="Compact"/>
              <w:spacing w:before="0" w:after="0" w:line="240" w:lineRule="auto"/>
              <w:jc w:val="left"/>
            </w:pPr>
            <w:r>
              <w:rPr>
                <w:sz w:val="21"/>
              </w:rPr>
              <w:t xml:space="preserve">[ ]</w:t>
            </w:r>
          </w:p>
        </w:tc>
        <w:tc>
          <w:tcPr>
            <w:tcW w:type="dxa" w:w="937"/>
          </w:tcPr>
          <w:p>
            <w:pPr>
              <w:pStyle w:val="Compact"/>
              <w:spacing w:before="0" w:after="0" w:line="240" w:lineRule="auto"/>
              <w:jc w:val="left"/>
            </w:pPr>
            <w:r>
              <w:rPr>
                <w:sz w:val="21"/>
              </w:rPr>
              <w:t xml:space="preserve">[ ]</w:t>
            </w:r>
          </w:p>
        </w:tc>
        <w:tc>
          <w:tcPr>
            <w:tcW w:type="dxa" w:w="1272"/>
          </w:tcPr>
          <w:p>
            <w:pPr>
              <w:pStyle w:val="Compact"/>
              <w:spacing w:before="0" w:after="0" w:line="240" w:lineRule="auto"/>
              <w:jc w:val="left"/>
            </w:pPr>
            <w:r>
              <w:rPr>
                <w:sz w:val="21"/>
              </w:rPr>
              <w:t xml:space="preserve">Enclosed</w:t>
            </w:r>
          </w:p>
        </w:tc>
      </w:tr>
      <w:tr>
        <w:tc>
          <w:tcPr>
            <w:tcW w:type="dxa" w:w="937"/>
          </w:tcPr>
          <w:p>
            <w:pPr>
              <w:pStyle w:val="Compact"/>
              <w:spacing w:before="0" w:after="0" w:line="240" w:lineRule="auto"/>
              <w:jc w:val="left"/>
            </w:pPr>
            <w:r>
              <w:rPr>
                <w:sz w:val="21"/>
              </w:rPr>
              <w:t xml:space="preserve">RUD-4</w:t>
            </w:r>
          </w:p>
        </w:tc>
        <w:tc>
          <w:tcPr>
            <w:tcW w:type="dxa" w:w="5462"/>
          </w:tcPr>
          <w:p>
            <w:pPr>
              <w:pStyle w:val="Compact"/>
              <w:spacing w:before="0" w:after="0" w:line="240" w:lineRule="auto"/>
              <w:jc w:val="left"/>
            </w:pPr>
            <w:r>
              <w:rPr>
                <w:sz w:val="21"/>
              </w:rPr>
              <w:t xml:space="preserve">[e.g. report / intimation of [DGGI / State / DGARM / audit] dated [ ]]</w:t>
            </w:r>
          </w:p>
        </w:tc>
        <w:tc>
          <w:tcPr>
            <w:tcW w:type="dxa" w:w="1031"/>
          </w:tcPr>
          <w:p>
            <w:pPr>
              <w:pStyle w:val="Compact"/>
              <w:spacing w:before="0" w:after="0" w:line="240" w:lineRule="auto"/>
              <w:jc w:val="left"/>
            </w:pPr>
            <w:r>
              <w:rPr>
                <w:sz w:val="21"/>
              </w:rPr>
              <w:t xml:space="preserve">[ ]</w:t>
            </w:r>
          </w:p>
        </w:tc>
        <w:tc>
          <w:tcPr>
            <w:tcW w:type="dxa" w:w="937"/>
          </w:tcPr>
          <w:p>
            <w:pPr>
              <w:pStyle w:val="Compact"/>
              <w:spacing w:before="0" w:after="0" w:line="240" w:lineRule="auto"/>
              <w:jc w:val="left"/>
            </w:pPr>
            <w:r>
              <w:rPr>
                <w:sz w:val="21"/>
              </w:rPr>
              <w:t xml:space="preserve">[ ]</w:t>
            </w:r>
          </w:p>
        </w:tc>
        <w:tc>
          <w:tcPr>
            <w:tcW w:type="dxa" w:w="1272"/>
          </w:tcPr>
          <w:p>
            <w:pPr>
              <w:pStyle w:val="Compact"/>
              <w:spacing w:before="0" w:after="0" w:line="240" w:lineRule="auto"/>
              <w:jc w:val="left"/>
            </w:pPr>
            <w:r>
              <w:rPr>
                <w:sz w:val="21"/>
              </w:rPr>
              <w:t xml:space="preserve">Enclosed</w:t>
            </w:r>
          </w:p>
        </w:tc>
      </w:tr>
      <w:tr>
        <w:tc>
          <w:tcPr>
            <w:tcW w:type="dxa" w:w="937"/>
          </w:tcPr>
          <w:p>
            <w:pPr>
              <w:pStyle w:val="Compact"/>
              <w:spacing w:before="0" w:after="0" w:line="240" w:lineRule="auto"/>
              <w:jc w:val="left"/>
            </w:pPr>
            <w:r>
              <w:rPr>
                <w:sz w:val="21"/>
              </w:rPr>
              <w:t xml:space="preserve">RUD-5</w:t>
            </w:r>
          </w:p>
        </w:tc>
        <w:tc>
          <w:tcPr>
            <w:tcW w:type="dxa" w:w="5462"/>
          </w:tcPr>
          <w:p>
            <w:pPr>
              <w:pStyle w:val="Compact"/>
              <w:spacing w:before="0" w:after="0" w:line="240" w:lineRule="auto"/>
              <w:jc w:val="left"/>
            </w:pPr>
            <w:r>
              <w:rPr>
                <w:sz w:val="21"/>
              </w:rPr>
              <w:t xml:space="preserve">[e.g. statement of [designation] recorded under section 70 on [ ]]</w:t>
            </w:r>
          </w:p>
        </w:tc>
        <w:tc>
          <w:tcPr>
            <w:tcW w:type="dxa" w:w="1031"/>
          </w:tcPr>
          <w:p>
            <w:pPr>
              <w:pStyle w:val="Compact"/>
              <w:spacing w:before="0" w:after="0" w:line="240" w:lineRule="auto"/>
              <w:jc w:val="left"/>
            </w:pPr>
            <w:r>
              <w:rPr>
                <w:sz w:val="21"/>
              </w:rPr>
              <w:t xml:space="preserve">[ ]</w:t>
            </w:r>
          </w:p>
        </w:tc>
        <w:tc>
          <w:tcPr>
            <w:tcW w:type="dxa" w:w="937"/>
          </w:tcPr>
          <w:p>
            <w:pPr>
              <w:pStyle w:val="Compact"/>
              <w:spacing w:before="0" w:after="0" w:line="240" w:lineRule="auto"/>
              <w:jc w:val="left"/>
            </w:pPr>
            <w:r>
              <w:rPr>
                <w:sz w:val="21"/>
              </w:rPr>
              <w:t xml:space="preserve">[ ]</w:t>
            </w:r>
          </w:p>
        </w:tc>
        <w:tc>
          <w:tcPr>
            <w:tcW w:type="dxa" w:w="1272"/>
          </w:tcPr>
          <w:p>
            <w:pPr>
              <w:pStyle w:val="Compact"/>
              <w:spacing w:before="0" w:after="0" w:line="240" w:lineRule="auto"/>
              <w:jc w:val="left"/>
            </w:pPr>
            <w:r>
              <w:rPr>
                <w:sz w:val="21"/>
              </w:rPr>
              <w:t xml:space="preserve">Enclosed</w:t>
            </w:r>
          </w:p>
        </w:tc>
      </w:tr>
      <w:tr>
        <w:tc>
          <w:tcPr>
            <w:tcW w:type="dxa" w:w="937"/>
          </w:tcPr>
          <w:p>
            <w:pPr>
              <w:pStyle w:val="Compact"/>
              <w:spacing w:before="0" w:after="0" w:line="240" w:lineRule="auto"/>
              <w:jc w:val="left"/>
            </w:pPr>
            <w:r>
              <w:rPr>
                <w:sz w:val="21"/>
              </w:rPr>
              <w:t xml:space="preserve">RUD-6</w:t>
            </w:r>
          </w:p>
        </w:tc>
        <w:tc>
          <w:tcPr>
            <w:tcW w:type="dxa" w:w="5462"/>
          </w:tcPr>
          <w:p>
            <w:pPr>
              <w:pStyle w:val="Compact"/>
              <w:spacing w:before="0" w:after="0" w:line="240" w:lineRule="auto"/>
              <w:jc w:val="left"/>
            </w:pPr>
            <w:r>
              <w:rPr>
                <w:sz w:val="21"/>
              </w:rPr>
              <w:t xml:space="preserve">[e.g. letters calling for documents dated [ ] and [ ], and proof of their delivery]</w:t>
            </w:r>
          </w:p>
        </w:tc>
        <w:tc>
          <w:tcPr>
            <w:tcW w:type="dxa" w:w="1031"/>
          </w:tcPr>
          <w:p>
            <w:pPr>
              <w:pStyle w:val="Compact"/>
              <w:spacing w:before="0" w:after="0" w:line="240" w:lineRule="auto"/>
              <w:jc w:val="left"/>
            </w:pPr>
            <w:r>
              <w:rPr>
                <w:sz w:val="21"/>
              </w:rPr>
              <w:t xml:space="preserve">[ ]</w:t>
            </w:r>
          </w:p>
        </w:tc>
        <w:tc>
          <w:tcPr>
            <w:tcW w:type="dxa" w:w="937"/>
          </w:tcPr>
          <w:p>
            <w:pPr>
              <w:pStyle w:val="Compact"/>
              <w:spacing w:before="0" w:after="0" w:line="240" w:lineRule="auto"/>
              <w:jc w:val="left"/>
            </w:pPr>
            <w:r>
              <w:rPr>
                <w:sz w:val="21"/>
              </w:rPr>
              <w:t xml:space="preserve">[ ]</w:t>
            </w:r>
          </w:p>
        </w:tc>
        <w:tc>
          <w:tcPr>
            <w:tcW w:type="dxa" w:w="1272"/>
          </w:tcPr>
          <w:p>
            <w:pPr>
              <w:pStyle w:val="Compact"/>
              <w:spacing w:before="0" w:after="0" w:line="240" w:lineRule="auto"/>
              <w:jc w:val="left"/>
            </w:pPr>
            <w:r>
              <w:rPr>
                <w:sz w:val="21"/>
              </w:rPr>
              <w:t xml:space="preserve">Enclosed</w:t>
            </w:r>
          </w:p>
        </w:tc>
      </w:tr>
    </w:tbl>
    <w:p>
      <w:pPr>
        <w:pStyle w:val="BodyText"/>
        <w:spacing w:before="0" w:after="120" w:line="269" w:lineRule="auto"/>
      </w:pPr>
      <w:r>
        <w:rPr>
          <w:bCs/>
          <w:b/>
        </w:rPr>
        <w:t xml:space="preserve">Annexure C: Interest workings</w:t>
      </w:r>
      <w:r>
        <w:t xml:space="preserve"> </w:t>
      </w:r>
      <w:r>
        <w:t xml:space="preserve">[the tables in Part 7, month by month, with the credit-ledger extract for section 50(3)].</w:t>
      </w:r>
    </w:p>
    <w:p>
      <w:pPr>
        <w:pStyle w:val="BlockText"/>
        <w:shd w:val="clear" w:color="auto" w:fill="E7E6E6"/>
      </w:pPr>
      <w:r>
        <w:rPr>
          <w:bCs/>
          <w:b/>
          <w:sz w:val="21"/>
        </w:rPr>
        <w:t xml:space="preserve">Officer’s pre-issue check (delete before issue).</w:t>
      </w:r>
      <w:r>
        <w:rPr>
          <w:sz w:val="21"/>
        </w:rPr>
        <w:t xml:space="preserve"> </w:t>
      </w:r>
      <w:r>
        <w:rPr>
          <w:sz w:val="21"/>
        </w:rPr>
        <w:t xml:space="preserve">Answer Yes to each. (1) I am the proper officer: section, monetary band and assignment recorded in para 1.5. (2) Portal checked; no State notice on the same subject matter; no earlier notice of this office for the same period and issue (para 1.6). (3) Any DRC-01A, ASMT-10 or audit reply time has run out, and the reply is answered in Part 3. (4) No binding Supreme Court or Telangana High Court ruling or binding circular already settles the issue against the department. (5) One financial year (recommended; if several years, year-wise figures and limitation for each); one section. (6) Limitation table filled; the notice issues at least one month before the section 73(2) / 74(2) date, or within the section 74A(2) date. (7) Each issue states facts, provision, period, figures and RUDs. (8) Part 5 is either deleted or filled with specific facts on one ground. (9) Tax, interest (sub-section, from-date, amount) and penalty (clause, amount) are quantified issue by issue; DRC-03 payments are credited. (10) The 13-column table, para 10.5, the cover table and DRC-01 carry the same figures and the same sections. (11) Every RUD is listed and enclosed; third-party reports are enclosed. (12) A hearing date, time and place are fixed. (13) The notice carries a DIN/RFN (without one it is invalid:</w:t>
      </w:r>
      <w:r>
        <w:rPr>
          <w:sz w:val="21"/>
        </w:rPr>
        <w:t xml:space="preserve"> </w:t>
      </w:r>
      <w:r>
        <w:rPr>
          <w:iCs/>
          <w:i/>
          <w:sz w:val="21"/>
        </w:rPr>
        <w:t xml:space="preserve">Gudla Vanaja</w:t>
      </w:r>
      <w:r>
        <w:rPr>
          <w:sz w:val="21"/>
        </w:rPr>
        <w:t xml:space="preserve">, Telangana HC Full Bench, 30.09.2026) and is uploaded from my own login; the notice and every annexure are digitally signed (good practice) and the uploaded copy has been opened and checked. (14) Service by portal and e-mail (and post where needed) is recorded; the order deadline is diarised. (15) Nothing in the notice says</w:t>
      </w:r>
      <w:r>
        <w:rPr>
          <w:sz w:val="21"/>
        </w:rPr>
        <w:t xml:space="preserve"> </w:t>
      </w:r>
      <w:r>
        <w:rPr>
          <w:sz w:val="21"/>
        </w:rPr>
        <w:t xml:space="preserve">“</w:t>
      </w:r>
      <w:r>
        <w:rPr>
          <w:sz w:val="21"/>
        </w:rPr>
        <w:t xml:space="preserve">draft</w:t>
      </w:r>
      <w:r>
        <w:rPr>
          <w:sz w:val="21"/>
        </w:rPr>
        <w:t xml:space="preserve">”</w:t>
      </w:r>
      <w:r>
        <w:rPr>
          <w:sz w:val="21"/>
        </w:rPr>
        <w:t xml:space="preserve">,</w:t>
      </w:r>
      <w:r>
        <w:rPr>
          <w:sz w:val="21"/>
        </w:rPr>
        <w:t xml:space="preserve"> </w:t>
      </w:r>
      <w:r>
        <w:rPr>
          <w:sz w:val="21"/>
        </w:rPr>
        <w:t xml:space="preserve">“</w:t>
      </w:r>
      <w:r>
        <w:rPr>
          <w:sz w:val="21"/>
        </w:rPr>
        <w:t xml:space="preserve">reserves the right to amend</w:t>
      </w:r>
      <w:r>
        <w:rPr>
          <w:sz w:val="21"/>
        </w:rPr>
        <w:t xml:space="preserve">”</w:t>
      </w:r>
      <w:r>
        <w:rPr>
          <w:sz w:val="21"/>
        </w:rPr>
        <w:t xml:space="preserve">, or presumes that a hearing is not wanted.</w:t>
      </w:r>
    </w:p>
    <w:bookmarkEnd w:id="20"/>
    <w:p>
      <w:pPr>
        <w:pStyle w:val="BlockText"/>
        <w:shd w:val="clear" w:color="auto" w:fill="E7E6E6"/>
        <w:spacing w:before="360"/>
      </w:pPr>
      <w:r>
        <w:rPr>
          <w:bCs/>
          <w:b/>
          <w:sz w:val="21"/>
        </w:rPr>
        <w:t xml:space="preserve">How to use this template.</w:t>
      </w:r>
      <w:r>
        <w:rPr>
          <w:sz w:val="21"/>
        </w:rPr>
        <w:t xml:space="preserve"> </w:t>
      </w:r>
      <w:r>
        <w:rPr>
          <w:sz w:val="21"/>
        </w:rPr>
        <w:t xml:space="preserve">This is the full notice. FORM GST DRC-01 is only its summary (rule 142(1)(a)); both are served together, and a DRC-01 alone is not a notice. Text in [square brackets] is to be filled in or chosen. Keep one of the variants</w:t>
      </w:r>
      <w:r>
        <w:rPr>
          <w:sz w:val="21"/>
        </w:rPr>
        <w:t xml:space="preserve"> </w:t>
      </w:r>
      <w:r>
        <w:rPr>
          <w:bCs/>
          <w:b/>
          <w:sz w:val="21"/>
        </w:rPr>
        <w:t xml:space="preserve">[S.73]</w:t>
      </w:r>
      <w:r>
        <w:rPr>
          <w:sz w:val="21"/>
        </w:rPr>
        <w:t xml:space="preserve">,</w:t>
      </w:r>
      <w:r>
        <w:rPr>
          <w:sz w:val="21"/>
        </w:rPr>
        <w:t xml:space="preserve"> </w:t>
      </w:r>
      <w:r>
        <w:rPr>
          <w:bCs/>
          <w:b/>
          <w:sz w:val="21"/>
        </w:rPr>
        <w:t xml:space="preserve">[S.74]</w:t>
      </w:r>
      <w:r>
        <w:rPr>
          <w:sz w:val="21"/>
        </w:rPr>
        <w:t xml:space="preserve">,</w:t>
      </w:r>
      <w:r>
        <w:rPr>
          <w:sz w:val="21"/>
        </w:rPr>
        <w:t xml:space="preserve"> </w:t>
      </w:r>
      <w:r>
        <w:rPr>
          <w:bCs/>
          <w:b/>
          <w:sz w:val="21"/>
        </w:rPr>
        <w:t xml:space="preserve">[S.74A(i)]</w:t>
      </w:r>
      <w:r>
        <w:rPr>
          <w:sz w:val="21"/>
        </w:rPr>
        <w:t xml:space="preserve"> </w:t>
      </w:r>
      <w:r>
        <w:rPr>
          <w:sz w:val="21"/>
        </w:rPr>
        <w:t xml:space="preserve">or</w:t>
      </w:r>
      <w:r>
        <w:rPr>
          <w:sz w:val="21"/>
        </w:rPr>
        <w:t xml:space="preserve"> </w:t>
      </w:r>
      <w:r>
        <w:rPr>
          <w:bCs/>
          <w:b/>
          <w:sz w:val="21"/>
        </w:rPr>
        <w:t xml:space="preserve">[S.74A(ii)]</w:t>
      </w:r>
      <w:r>
        <w:rPr>
          <w:sz w:val="21"/>
        </w:rPr>
        <w:t xml:space="preserve"> </w:t>
      </w:r>
      <w:r>
        <w:rPr>
          <w:sz w:val="21"/>
        </w:rPr>
        <w:t xml:space="preserve">wherever they appear and delete the rest. Part 5 is kept only for [S.74] and [S.74A(ii)]. Paste one A2 module for each issue into Part 3 and renumber. Delete the</w:t>
      </w:r>
      <w:r>
        <w:rPr>
          <w:sz w:val="21"/>
        </w:rPr>
        <w:t xml:space="preserve"> </w:t>
      </w:r>
      <w:r>
        <w:rPr>
          <w:sz w:val="21"/>
        </w:rPr>
        <w:t xml:space="preserve">“</w:t>
      </w:r>
      <w:r>
        <w:rPr>
          <w:sz w:val="21"/>
        </w:rPr>
        <w:t xml:space="preserve">read me first</w:t>
      </w:r>
      <w:r>
        <w:rPr>
          <w:sz w:val="21"/>
        </w:rPr>
        <w:t xml:space="preserve">”</w:t>
      </w:r>
      <w:r>
        <w:rPr>
          <w:sz w:val="21"/>
        </w:rPr>
        <w:t xml:space="preserve"> </w:t>
      </w:r>
      <w:r>
        <w:rPr>
          <w:sz w:val="21"/>
        </w:rPr>
        <w:t xml:space="preserve">page,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and the officer’s pre-issue check before signing; once the first page is deleted, the letterhead becomes page 1. Do not leave any bracket, blank date or drafting note in the issued notice. The running header on later pages reads</w:t>
      </w:r>
      <w:r>
        <w:rPr>
          <w:sz w:val="21"/>
        </w:rPr>
        <w:t xml:space="preserve"> </w:t>
      </w:r>
      <w:r>
        <w:rPr>
          <w:sz w:val="21"/>
        </w:rPr>
        <w:t xml:space="preserve">“</w:t>
      </w:r>
      <w:r>
        <w:rPr>
          <w:sz w:val="21"/>
        </w:rPr>
        <w:t xml:space="preserve">Order No.</w:t>
      </w:r>
      <w:r>
        <w:rPr>
          <w:sz w:val="21"/>
        </w:rPr>
        <w:t xml:space="preserve">”</w:t>
      </w:r>
      <w:r>
        <w:rPr>
          <w:sz w:val="21"/>
        </w:rPr>
        <w:t xml:space="preserve">; change it to</w:t>
      </w:r>
      <w:r>
        <w:rPr>
          <w:sz w:val="21"/>
        </w:rPr>
        <w:t xml:space="preserve"> </w:t>
      </w:r>
      <w:r>
        <w:rPr>
          <w:sz w:val="21"/>
        </w:rPr>
        <w:t xml:space="preserve">“</w:t>
      </w:r>
      <w:r>
        <w:rPr>
          <w:sz w:val="21"/>
        </w:rPr>
        <w:t xml:space="preserve">Notice No. [ ] dated [ ]</w:t>
      </w:r>
      <w:r>
        <w:rPr>
          <w:sz w:val="21"/>
        </w:rPr>
        <w:t xml:space="preserve">”</w:t>
      </w:r>
      <w:r>
        <w:rPr>
          <w:sz w:val="21"/>
        </w:rPr>
        <w:t xml:space="preserve"> </w:t>
      </w:r>
      <w:r>
        <w:rPr>
          <w:sz w:val="21"/>
        </w:rPr>
        <w:t xml:space="preserve">in Word (Insert &gt; Header) until the template header is updated.</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Notice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A1: Show cause notice under section 73, 74 or 74A (detailed notice served with FORM GST DRC-01), one financial year</dc:title>
  <dc:creator>Sangareddy CGST Division</dc:creator>
  <cp:keywords/>
  <dcterms:created xsi:type="dcterms:W3CDTF">2026-10-15T02:44:00Z</dcterms:created>
  <dcterms:modified xsi:type="dcterms:W3CDTF">2026-10-15T02:44:00Z</dcterms:modified>
</cp:coreProperties>
</file>

<file path=docProps/custom.xml><?xml version="1.0" encoding="utf-8"?>
<Properties xmlns="http://schemas.openxmlformats.org/officeDocument/2006/custom-properties" xmlns:vt="http://schemas.openxmlformats.org/officeDocument/2006/docPropsVTypes"/>
</file>