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043eb56c1310af3d5eb17bab2079c5504f1770e"/>
    <w:p>
      <w:pPr>
        <w:pStyle w:val="Heading1"/>
        <w:keepNext/>
        <w:spacing w:before="240" w:after="80"/>
        <w:pBdr>
          <w:bottom w:val="single" w:sz="6" w:space="1" w:color="B4C6E7"/>
        </w:pBdr>
      </w:pPr>
      <w:r>
        <w:rPr>
          <w:b/>
          <w:color w:val="1F3864"/>
          <w:sz w:val="25"/>
        </w:rPr>
        <w:t xml:space="preserve">Template A2: Issue modules for Part 3 of the show cause notice (A1)</w:t>
      </w:r>
    </w:p>
    <w:bookmarkStart w:id="20" w:name="index-of-modules"/>
    <w:p>
      <w:pPr>
        <w:pStyle w:val="Heading3"/>
        <w:keepNext/>
        <w:spacing w:before="240" w:after="80"/>
        <w:pBdr>
          <w:bottom w:val="single" w:sz="6" w:space="1" w:color="B4C6E7"/>
        </w:pBdr>
      </w:pPr>
      <w:r>
        <w:rPr>
          <w:b/>
          <w:color w:val="1F3864"/>
          <w:sz w:val="25"/>
        </w:rPr>
        <w:t xml:space="preserve">Index of modules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374"/>
        <w:gridCol w:w="4461"/>
        <w:gridCol w:w="2055"/>
        <w:gridCol w:w="1748"/>
      </w:tblGrid>
      <w:tr>
        <w:trPr>
          <w:tblHeader w:val="true"/>
          <w:tblHeader/>
        </w:trPr>
        <w:tc>
          <w:tcPr>
            <w:tcW w:type="dxa" w:w="1374"/>
            <w:shd w:val="clear" w:color="auto" w:fill="DCE6F1"/>
          </w:tcPr>
          <w:p>
            <w:pPr>
              <w:pStyle w:val="Compact"/>
              <w:spacing w:before="0" w:after="0" w:line="240" w:lineRule="auto"/>
              <w:jc w:val="left"/>
            </w:pPr>
            <w:r>
              <w:rPr>
                <w:b/>
                <w:color w:val="1F3864"/>
                <w:sz w:val="21"/>
              </w:rPr>
              <w:t xml:space="preserve">Module</w:t>
            </w:r>
          </w:p>
        </w:tc>
        <w:tc>
          <w:tcPr>
            <w:tcW w:type="dxa" w:w="4461"/>
            <w:shd w:val="clear" w:color="auto" w:fill="DCE6F1"/>
          </w:tcPr>
          <w:p>
            <w:pPr>
              <w:pStyle w:val="Compact"/>
              <w:spacing w:before="0" w:after="0" w:line="240" w:lineRule="auto"/>
              <w:jc w:val="left"/>
            </w:pPr>
            <w:r>
              <w:rPr>
                <w:b/>
                <w:color w:val="1F3864"/>
                <w:sz w:val="21"/>
              </w:rPr>
              <w:t xml:space="preserve">Issue</w:t>
            </w:r>
          </w:p>
        </w:tc>
        <w:tc>
          <w:tcPr>
            <w:tcW w:type="dxa" w:w="2055"/>
            <w:shd w:val="clear" w:color="auto" w:fill="DCE6F1"/>
          </w:tcPr>
          <w:p>
            <w:pPr>
              <w:pStyle w:val="Compact"/>
              <w:spacing w:before="0" w:after="0" w:line="240" w:lineRule="auto"/>
              <w:jc w:val="left"/>
            </w:pPr>
            <w:r>
              <w:rPr>
                <w:b/>
                <w:color w:val="1F3864"/>
                <w:sz w:val="21"/>
              </w:rPr>
              <w:t xml:space="preserve">Usual section</w:t>
            </w:r>
          </w:p>
        </w:tc>
        <w:tc>
          <w:tcPr>
            <w:tcW w:type="dxa" w:w="1748"/>
            <w:shd w:val="clear" w:color="auto" w:fill="DCE6F1"/>
          </w:tcPr>
          <w:p>
            <w:pPr>
              <w:pStyle w:val="Compact"/>
              <w:spacing w:before="0" w:after="0" w:line="240" w:lineRule="auto"/>
              <w:jc w:val="left"/>
            </w:pPr>
            <w:r>
              <w:rPr>
                <w:b/>
                <w:color w:val="1F3864"/>
                <w:sz w:val="21"/>
              </w:rPr>
              <w:t xml:space="preserve">Fraud (Part 5) normally?</w:t>
            </w:r>
          </w:p>
        </w:tc>
      </w:tr>
      <w:tr>
        <w:tc>
          <w:tcPr>
            <w:tcW w:type="dxa" w:w="1374"/>
          </w:tcPr>
          <w:p>
            <w:pPr>
              <w:pStyle w:val="Compact"/>
              <w:spacing w:before="0" w:after="0" w:line="240" w:lineRule="auto"/>
              <w:jc w:val="left"/>
            </w:pPr>
            <w:r>
              <w:rPr>
                <w:sz w:val="21"/>
              </w:rPr>
              <w:t xml:space="preserve">1</w:t>
            </w:r>
          </w:p>
        </w:tc>
        <w:tc>
          <w:tcPr>
            <w:tcW w:type="dxa" w:w="4461"/>
          </w:tcPr>
          <w:p>
            <w:pPr>
              <w:pStyle w:val="Compact"/>
              <w:spacing w:before="0" w:after="0" w:line="240" w:lineRule="auto"/>
              <w:jc w:val="left"/>
            </w:pPr>
            <w:r>
              <w:rPr>
                <w:sz w:val="21"/>
              </w:rPr>
              <w:t xml:space="preserve">Input tax credit in excess of GSTR-2B</w:t>
            </w:r>
          </w:p>
        </w:tc>
        <w:tc>
          <w:tcPr>
            <w:tcW w:type="dxa" w:w="2055"/>
          </w:tcPr>
          <w:p>
            <w:pPr>
              <w:pStyle w:val="Compact"/>
              <w:spacing w:before="0" w:after="0" w:line="240" w:lineRule="auto"/>
              <w:jc w:val="left"/>
            </w:pPr>
            <w:r>
              <w:rPr>
                <w:sz w:val="21"/>
              </w:rPr>
              <w:t xml:space="preserve">73 / 74A(5)(i)</w:t>
            </w:r>
          </w:p>
        </w:tc>
        <w:tc>
          <w:tcPr>
            <w:tcW w:type="dxa" w:w="1748"/>
          </w:tcPr>
          <w:p>
            <w:pPr>
              <w:pStyle w:val="Compact"/>
              <w:spacing w:before="0" w:after="0" w:line="240" w:lineRule="auto"/>
              <w:jc w:val="left"/>
            </w:pPr>
            <w:r>
              <w:rPr>
                <w:sz w:val="21"/>
              </w:rPr>
              <w:t xml:space="preserve">No</w:t>
            </w:r>
          </w:p>
        </w:tc>
      </w:tr>
      <w:tr>
        <w:tc>
          <w:tcPr>
            <w:tcW w:type="dxa" w:w="1374"/>
          </w:tcPr>
          <w:p>
            <w:pPr>
              <w:pStyle w:val="Compact"/>
              <w:spacing w:before="0" w:after="0" w:line="240" w:lineRule="auto"/>
              <w:jc w:val="left"/>
            </w:pPr>
            <w:r>
              <w:rPr>
                <w:sz w:val="21"/>
              </w:rPr>
              <w:t xml:space="preserve">2</w:t>
            </w:r>
          </w:p>
        </w:tc>
        <w:tc>
          <w:tcPr>
            <w:tcW w:type="dxa" w:w="4461"/>
          </w:tcPr>
          <w:p>
            <w:pPr>
              <w:pStyle w:val="Compact"/>
              <w:spacing w:before="0" w:after="0" w:line="240" w:lineRule="auto"/>
              <w:jc w:val="left"/>
            </w:pPr>
            <w:r>
              <w:rPr>
                <w:sz w:val="21"/>
              </w:rPr>
              <w:t xml:space="preserve">Supplier did not pay the tax; cancelled supplier</w:t>
            </w:r>
          </w:p>
        </w:tc>
        <w:tc>
          <w:tcPr>
            <w:tcW w:type="dxa" w:w="2055"/>
          </w:tcPr>
          <w:p>
            <w:pPr>
              <w:pStyle w:val="Compact"/>
              <w:spacing w:before="0" w:after="0" w:line="240" w:lineRule="auto"/>
              <w:jc w:val="left"/>
            </w:pPr>
            <w:r>
              <w:rPr>
                <w:sz w:val="21"/>
              </w:rPr>
              <w:t xml:space="preserve">73 / 74A(5)(i)</w:t>
            </w:r>
          </w:p>
        </w:tc>
        <w:tc>
          <w:tcPr>
            <w:tcW w:type="dxa" w:w="1748"/>
          </w:tcPr>
          <w:p>
            <w:pPr>
              <w:pStyle w:val="Compact"/>
              <w:spacing w:before="0" w:after="0" w:line="240" w:lineRule="auto"/>
              <w:jc w:val="left"/>
            </w:pPr>
            <w:r>
              <w:rPr>
                <w:sz w:val="21"/>
              </w:rPr>
              <w:t xml:space="preserve">Only with buyer-specific evidence</w:t>
            </w:r>
          </w:p>
        </w:tc>
      </w:tr>
      <w:tr>
        <w:tc>
          <w:tcPr>
            <w:tcW w:type="dxa" w:w="1374"/>
          </w:tcPr>
          <w:p>
            <w:pPr>
              <w:pStyle w:val="Compact"/>
              <w:spacing w:before="0" w:after="0" w:line="240" w:lineRule="auto"/>
              <w:jc w:val="left"/>
            </w:pPr>
            <w:r>
              <w:rPr>
                <w:sz w:val="21"/>
              </w:rPr>
              <w:t xml:space="preserve">3</w:t>
            </w:r>
          </w:p>
        </w:tc>
        <w:tc>
          <w:tcPr>
            <w:tcW w:type="dxa" w:w="4461"/>
          </w:tcPr>
          <w:p>
            <w:pPr>
              <w:pStyle w:val="Compact"/>
              <w:spacing w:before="0" w:after="0" w:line="240" w:lineRule="auto"/>
              <w:jc w:val="left"/>
            </w:pPr>
            <w:r>
              <w:rPr>
                <w:sz w:val="21"/>
              </w:rPr>
              <w:t xml:space="preserve">Credit taken after the section 16(4) time limit</w:t>
            </w:r>
          </w:p>
        </w:tc>
        <w:tc>
          <w:tcPr>
            <w:tcW w:type="dxa" w:w="2055"/>
          </w:tcPr>
          <w:p>
            <w:pPr>
              <w:pStyle w:val="Compact"/>
              <w:spacing w:before="0" w:after="0" w:line="240" w:lineRule="auto"/>
              <w:jc w:val="left"/>
            </w:pPr>
            <w:r>
              <w:rPr>
                <w:sz w:val="21"/>
              </w:rPr>
              <w:t xml:space="preserve">73 / 74A(5)(i)</w:t>
            </w:r>
          </w:p>
        </w:tc>
        <w:tc>
          <w:tcPr>
            <w:tcW w:type="dxa" w:w="1748"/>
          </w:tcPr>
          <w:p>
            <w:pPr>
              <w:pStyle w:val="Compact"/>
              <w:spacing w:before="0" w:after="0" w:line="240" w:lineRule="auto"/>
              <w:jc w:val="left"/>
            </w:pPr>
            <w:r>
              <w:rPr>
                <w:sz w:val="21"/>
              </w:rPr>
              <w:t xml:space="preserve">No</w:t>
            </w:r>
          </w:p>
        </w:tc>
      </w:tr>
      <w:tr>
        <w:tc>
          <w:tcPr>
            <w:tcW w:type="dxa" w:w="1374"/>
          </w:tcPr>
          <w:p>
            <w:pPr>
              <w:pStyle w:val="Compact"/>
              <w:spacing w:before="0" w:after="0" w:line="240" w:lineRule="auto"/>
              <w:jc w:val="left"/>
            </w:pPr>
            <w:r>
              <w:rPr>
                <w:sz w:val="21"/>
              </w:rPr>
              <w:t xml:space="preserve">4</w:t>
            </w:r>
          </w:p>
        </w:tc>
        <w:tc>
          <w:tcPr>
            <w:tcW w:type="dxa" w:w="4461"/>
          </w:tcPr>
          <w:p>
            <w:pPr>
              <w:pStyle w:val="Compact"/>
              <w:spacing w:before="0" w:after="0" w:line="240" w:lineRule="auto"/>
              <w:jc w:val="left"/>
            </w:pPr>
            <w:r>
              <w:rPr>
                <w:sz w:val="21"/>
              </w:rPr>
              <w:t xml:space="preserve">Outward tax short paid: GSTR-1 against GSTR-3B</w:t>
            </w:r>
          </w:p>
        </w:tc>
        <w:tc>
          <w:tcPr>
            <w:tcW w:type="dxa" w:w="2055"/>
          </w:tcPr>
          <w:p>
            <w:pPr>
              <w:pStyle w:val="Compact"/>
              <w:spacing w:before="0" w:after="0" w:line="240" w:lineRule="auto"/>
              <w:jc w:val="left"/>
            </w:pPr>
            <w:r>
              <w:rPr>
                <w:sz w:val="21"/>
              </w:rPr>
              <w:t xml:space="preserve">73 / 74A(5)(i), or DRC-01D</w:t>
            </w:r>
          </w:p>
        </w:tc>
        <w:tc>
          <w:tcPr>
            <w:tcW w:type="dxa" w:w="1748"/>
          </w:tcPr>
          <w:p>
            <w:pPr>
              <w:pStyle w:val="Compact"/>
              <w:spacing w:before="0" w:after="0" w:line="240" w:lineRule="auto"/>
              <w:jc w:val="left"/>
            </w:pPr>
            <w:r>
              <w:rPr>
                <w:sz w:val="21"/>
              </w:rPr>
              <w:t xml:space="preserve">No</w:t>
            </w:r>
          </w:p>
        </w:tc>
      </w:tr>
      <w:tr>
        <w:tc>
          <w:tcPr>
            <w:tcW w:type="dxa" w:w="1374"/>
          </w:tcPr>
          <w:p>
            <w:pPr>
              <w:pStyle w:val="Compact"/>
              <w:spacing w:before="0" w:after="0" w:line="240" w:lineRule="auto"/>
              <w:jc w:val="left"/>
            </w:pPr>
            <w:r>
              <w:rPr>
                <w:sz w:val="21"/>
              </w:rPr>
              <w:t xml:space="preserve">5</w:t>
            </w:r>
          </w:p>
        </w:tc>
        <w:tc>
          <w:tcPr>
            <w:tcW w:type="dxa" w:w="4461"/>
          </w:tcPr>
          <w:p>
            <w:pPr>
              <w:pStyle w:val="Compact"/>
              <w:spacing w:before="0" w:after="0" w:line="240" w:lineRule="auto"/>
              <w:jc w:val="left"/>
            </w:pPr>
            <w:r>
              <w:rPr>
                <w:sz w:val="21"/>
              </w:rPr>
              <w:t xml:space="preserve">Reverse charge tax not paid</w:t>
            </w:r>
          </w:p>
        </w:tc>
        <w:tc>
          <w:tcPr>
            <w:tcW w:type="dxa" w:w="2055"/>
          </w:tcPr>
          <w:p>
            <w:pPr>
              <w:pStyle w:val="Compact"/>
              <w:spacing w:before="0" w:after="0" w:line="240" w:lineRule="auto"/>
              <w:jc w:val="left"/>
            </w:pPr>
            <w:r>
              <w:rPr>
                <w:sz w:val="21"/>
              </w:rPr>
              <w:t xml:space="preserve">73 / 74A(5)(i)</w:t>
            </w:r>
          </w:p>
        </w:tc>
        <w:tc>
          <w:tcPr>
            <w:tcW w:type="dxa" w:w="1748"/>
          </w:tcPr>
          <w:p>
            <w:pPr>
              <w:pStyle w:val="Compact"/>
              <w:spacing w:before="0" w:after="0" w:line="240" w:lineRule="auto"/>
              <w:jc w:val="left"/>
            </w:pPr>
            <w:r>
              <w:rPr>
                <w:sz w:val="21"/>
              </w:rPr>
              <w:t xml:space="preserve">Rarely</w:t>
            </w:r>
          </w:p>
        </w:tc>
      </w:tr>
      <w:tr>
        <w:tc>
          <w:tcPr>
            <w:tcW w:type="dxa" w:w="1374"/>
          </w:tcPr>
          <w:p>
            <w:pPr>
              <w:pStyle w:val="Compact"/>
              <w:spacing w:before="0" w:after="0" w:line="240" w:lineRule="auto"/>
              <w:jc w:val="left"/>
            </w:pPr>
            <w:r>
              <w:rPr>
                <w:sz w:val="21"/>
              </w:rPr>
              <w:t xml:space="preserve">6</w:t>
            </w:r>
          </w:p>
        </w:tc>
        <w:tc>
          <w:tcPr>
            <w:tcW w:type="dxa" w:w="4461"/>
          </w:tcPr>
          <w:p>
            <w:pPr>
              <w:pStyle w:val="Compact"/>
              <w:spacing w:before="0" w:after="0" w:line="240" w:lineRule="auto"/>
              <w:jc w:val="left"/>
            </w:pPr>
            <w:r>
              <w:rPr>
                <w:sz w:val="21"/>
              </w:rPr>
              <w:t xml:space="preserve">Credit on invoices without supply; non-existent supplier</w:t>
            </w:r>
          </w:p>
        </w:tc>
        <w:tc>
          <w:tcPr>
            <w:tcW w:type="dxa" w:w="2055"/>
          </w:tcPr>
          <w:p>
            <w:pPr>
              <w:pStyle w:val="Compact"/>
              <w:spacing w:before="0" w:after="0" w:line="240" w:lineRule="auto"/>
              <w:jc w:val="left"/>
            </w:pPr>
            <w:r>
              <w:rPr>
                <w:sz w:val="21"/>
              </w:rPr>
              <w:t xml:space="preserve">74 / 74A(5)(ii)</w:t>
            </w:r>
          </w:p>
        </w:tc>
        <w:tc>
          <w:tcPr>
            <w:tcW w:type="dxa" w:w="1748"/>
          </w:tcPr>
          <w:p>
            <w:pPr>
              <w:pStyle w:val="Compact"/>
              <w:spacing w:before="0" w:after="0" w:line="240" w:lineRule="auto"/>
              <w:jc w:val="left"/>
            </w:pPr>
            <w:r>
              <w:rPr>
                <w:sz w:val="21"/>
              </w:rPr>
              <w:t xml:space="preserve">Yes, with facts</w:t>
            </w:r>
          </w:p>
        </w:tc>
      </w:tr>
      <w:tr>
        <w:tc>
          <w:tcPr>
            <w:tcW w:type="dxa" w:w="1374"/>
          </w:tcPr>
          <w:p>
            <w:pPr>
              <w:pStyle w:val="Compact"/>
              <w:spacing w:before="0" w:after="0" w:line="240" w:lineRule="auto"/>
              <w:jc w:val="left"/>
            </w:pPr>
            <w:r>
              <w:rPr>
                <w:sz w:val="21"/>
              </w:rPr>
              <w:t xml:space="preserve">7</w:t>
            </w:r>
          </w:p>
        </w:tc>
        <w:tc>
          <w:tcPr>
            <w:tcW w:type="dxa" w:w="4461"/>
          </w:tcPr>
          <w:p>
            <w:pPr>
              <w:pStyle w:val="Compact"/>
              <w:spacing w:before="0" w:after="0" w:line="240" w:lineRule="auto"/>
              <w:jc w:val="left"/>
            </w:pPr>
            <w:r>
              <w:rPr>
                <w:sz w:val="21"/>
              </w:rPr>
              <w:t xml:space="preserve">Unregistered person liable to registration</w:t>
            </w:r>
          </w:p>
        </w:tc>
        <w:tc>
          <w:tcPr>
            <w:tcW w:type="dxa" w:w="2055"/>
          </w:tcPr>
          <w:p>
            <w:pPr>
              <w:pStyle w:val="Compact"/>
              <w:spacing w:before="0" w:after="0" w:line="240" w:lineRule="auto"/>
              <w:jc w:val="left"/>
            </w:pPr>
            <w:r>
              <w:rPr>
                <w:sz w:val="21"/>
              </w:rPr>
              <w:t xml:space="preserve">63, or 73 / 74 / 74A</w:t>
            </w:r>
          </w:p>
        </w:tc>
        <w:tc>
          <w:tcPr>
            <w:tcW w:type="dxa" w:w="1748"/>
          </w:tcPr>
          <w:p>
            <w:pPr>
              <w:pStyle w:val="Compact"/>
              <w:spacing w:before="0" w:after="0" w:line="240" w:lineRule="auto"/>
              <w:jc w:val="left"/>
            </w:pPr>
            <w:r>
              <w:rPr>
                <w:sz w:val="21"/>
              </w:rPr>
              <w:t xml:space="preserve">Only with facts</w:t>
            </w:r>
          </w:p>
        </w:tc>
      </w:tr>
      <w:tr>
        <w:tc>
          <w:tcPr>
            <w:tcW w:type="dxa" w:w="1374"/>
          </w:tcPr>
          <w:p>
            <w:pPr>
              <w:pStyle w:val="Compact"/>
              <w:spacing w:before="0" w:after="0" w:line="240" w:lineRule="auto"/>
              <w:jc w:val="left"/>
            </w:pPr>
            <w:r>
              <w:rPr>
                <w:sz w:val="21"/>
              </w:rPr>
              <w:t xml:space="preserve">8</w:t>
            </w:r>
          </w:p>
        </w:tc>
        <w:tc>
          <w:tcPr>
            <w:tcW w:type="dxa" w:w="4461"/>
          </w:tcPr>
          <w:p>
            <w:pPr>
              <w:pStyle w:val="Compact"/>
              <w:spacing w:before="0" w:after="0" w:line="240" w:lineRule="auto"/>
              <w:jc w:val="left"/>
            </w:pPr>
            <w:r>
              <w:rPr>
                <w:sz w:val="21"/>
              </w:rPr>
              <w:t xml:space="preserve">Rate or classification dispute</w:t>
            </w:r>
          </w:p>
        </w:tc>
        <w:tc>
          <w:tcPr>
            <w:tcW w:type="dxa" w:w="2055"/>
          </w:tcPr>
          <w:p>
            <w:pPr>
              <w:pStyle w:val="Compact"/>
              <w:spacing w:before="0" w:after="0" w:line="240" w:lineRule="auto"/>
              <w:jc w:val="left"/>
            </w:pPr>
            <w:r>
              <w:rPr>
                <w:sz w:val="21"/>
              </w:rPr>
              <w:t xml:space="preserve">73 / 74A(5)(i)</w:t>
            </w:r>
          </w:p>
        </w:tc>
        <w:tc>
          <w:tcPr>
            <w:tcW w:type="dxa" w:w="1748"/>
          </w:tcPr>
          <w:p>
            <w:pPr>
              <w:pStyle w:val="Compact"/>
              <w:spacing w:before="0" w:after="0" w:line="240" w:lineRule="auto"/>
              <w:jc w:val="left"/>
            </w:pPr>
            <w:r>
              <w:rPr>
                <w:sz w:val="21"/>
              </w:rPr>
              <w:t xml:space="preserve">No, where the noticee disclosed</w:t>
            </w:r>
          </w:p>
        </w:tc>
      </w:tr>
      <w:tr>
        <w:tc>
          <w:tcPr>
            <w:tcW w:type="dxa" w:w="1374"/>
          </w:tcPr>
          <w:p>
            <w:pPr>
              <w:pStyle w:val="Compact"/>
              <w:spacing w:before="0" w:after="0" w:line="240" w:lineRule="auto"/>
              <w:jc w:val="left"/>
            </w:pPr>
            <w:r>
              <w:rPr>
                <w:sz w:val="21"/>
              </w:rPr>
              <w:t xml:space="preserve">9</w:t>
            </w:r>
          </w:p>
        </w:tc>
        <w:tc>
          <w:tcPr>
            <w:tcW w:type="dxa" w:w="4461"/>
          </w:tcPr>
          <w:p>
            <w:pPr>
              <w:pStyle w:val="Compact"/>
              <w:spacing w:before="0" w:after="0" w:line="240" w:lineRule="auto"/>
              <w:jc w:val="left"/>
            </w:pPr>
            <w:r>
              <w:rPr>
                <w:sz w:val="21"/>
              </w:rPr>
              <w:t xml:space="preserve">Blocked credit under section 17(5)</w:t>
            </w:r>
          </w:p>
        </w:tc>
        <w:tc>
          <w:tcPr>
            <w:tcW w:type="dxa" w:w="2055"/>
          </w:tcPr>
          <w:p>
            <w:pPr>
              <w:pStyle w:val="Compact"/>
              <w:spacing w:before="0" w:after="0" w:line="240" w:lineRule="auto"/>
              <w:jc w:val="left"/>
            </w:pPr>
            <w:r>
              <w:rPr>
                <w:sz w:val="21"/>
              </w:rPr>
              <w:t xml:space="preserve">73 / 74A(5)(i)</w:t>
            </w:r>
          </w:p>
        </w:tc>
        <w:tc>
          <w:tcPr>
            <w:tcW w:type="dxa" w:w="1748"/>
          </w:tcPr>
          <w:p>
            <w:pPr>
              <w:pStyle w:val="Compact"/>
              <w:spacing w:before="0" w:after="0" w:line="240" w:lineRule="auto"/>
              <w:jc w:val="left"/>
            </w:pPr>
            <w:r>
              <w:rPr>
                <w:sz w:val="21"/>
              </w:rPr>
              <w:t xml:space="preserve">Rarely</w:t>
            </w:r>
          </w:p>
        </w:tc>
      </w:tr>
      <w:tr>
        <w:tc>
          <w:tcPr>
            <w:tcW w:type="dxa" w:w="1374"/>
          </w:tcPr>
          <w:p>
            <w:pPr>
              <w:pStyle w:val="Compact"/>
              <w:spacing w:before="0" w:after="0" w:line="240" w:lineRule="auto"/>
              <w:jc w:val="left"/>
            </w:pPr>
            <w:r>
              <w:rPr>
                <w:sz w:val="21"/>
              </w:rPr>
              <w:t xml:space="preserve">10</w:t>
            </w:r>
          </w:p>
        </w:tc>
        <w:tc>
          <w:tcPr>
            <w:tcW w:type="dxa" w:w="4461"/>
          </w:tcPr>
          <w:p>
            <w:pPr>
              <w:pStyle w:val="Compact"/>
              <w:spacing w:before="0" w:after="0" w:line="240" w:lineRule="auto"/>
              <w:jc w:val="left"/>
            </w:pPr>
            <w:r>
              <w:rPr>
                <w:sz w:val="21"/>
              </w:rPr>
              <w:t xml:space="preserve">Late fee and interest</w:t>
            </w:r>
          </w:p>
        </w:tc>
        <w:tc>
          <w:tcPr>
            <w:tcW w:type="dxa" w:w="2055"/>
          </w:tcPr>
          <w:p>
            <w:pPr>
              <w:pStyle w:val="Compact"/>
              <w:spacing w:before="0" w:after="0" w:line="240" w:lineRule="auto"/>
              <w:jc w:val="left"/>
            </w:pPr>
            <w:r>
              <w:rPr>
                <w:sz w:val="21"/>
              </w:rPr>
              <w:t xml:space="preserve">Not a section 73 demand</w:t>
            </w:r>
          </w:p>
        </w:tc>
        <w:tc>
          <w:tcPr>
            <w:tcW w:type="dxa" w:w="1748"/>
          </w:tcPr>
          <w:p>
            <w:pPr>
              <w:pStyle w:val="Compact"/>
              <w:spacing w:before="0" w:after="0" w:line="240" w:lineRule="auto"/>
              <w:jc w:val="left"/>
            </w:pPr>
            <w:r>
              <w:rPr>
                <w:sz w:val="21"/>
              </w:rPr>
              <w:t xml:space="preserve">Not applicable</w:t>
            </w:r>
          </w:p>
        </w:tc>
      </w:tr>
    </w:tbl>
    <w:bookmarkEnd w:id="20"/>
    <w:bookmarkStart w:id="21" w:name="X8a9a95138d3516b90501ee91c583f4ba9a676f1"/>
    <w:p>
      <w:pPr>
        <w:pStyle w:val="Heading3"/>
        <w:keepNext/>
        <w:spacing w:before="240" w:after="80"/>
        <w:pBdr>
          <w:bottom w:val="single" w:sz="6" w:space="1" w:color="B4C6E7"/>
        </w:pBdr>
      </w:pPr>
      <w:r>
        <w:rPr>
          <w:b/>
          <w:color w:val="1F3864"/>
          <w:sz w:val="25"/>
        </w:rPr>
        <w:t xml:space="preserve">Module 1. Input tax credit availed in excess of GSTR-2B (periods from 01.01.2022)</w:t>
      </w:r>
    </w:p>
    <w:p>
      <w:pPr>
        <w:pStyle w:val="FirstParagraph"/>
        <w:spacing w:before="0" w:after="120" w:line="269" w:lineRule="auto"/>
      </w:pPr>
      <w:r>
        <w:rPr>
          <w:bCs/>
          <w:b/>
        </w:rPr>
        <w:t xml:space="preserve">(a) Allegation</w:t>
      </w:r>
    </w:p>
    <w:p>
      <w:pPr>
        <w:pStyle w:val="BodyText"/>
        <w:spacing w:before="0" w:after="120" w:line="269" w:lineRule="auto"/>
        <w:jc w:val="both"/>
      </w:pPr>
      <w:r>
        <w:t xml:space="preserve">3.[n].1 For [April YYYY to March YYYY], the noticee availed input tax credit of ₹[ ] in Table 4(A)(5) (</w:t>
      </w:r>
      <w:r>
        <w:t xml:space="preserve">“</w:t>
      </w:r>
      <w:r>
        <w:t xml:space="preserve">All other ITC</w:t>
      </w:r>
      <w:r>
        <w:t xml:space="preserve">”</w:t>
      </w:r>
      <w:r>
        <w:t xml:space="preserve">) of its GSTR-3B returns, net of reversals in Table 4(B) of ₹[ ] (RUD-[ ]). The input tax credit made available to it in FORM GSTR-2B for the same months, excluding credit on reverse charge and imports, is ₹[ ] (RUD-[ ], downloaded on [DD.MM.YYYY]). The credit availed exceeds the credit communicated in GSTR-2B by ₹[ ] (IGST ₹[ ], CGST ₹[ ], SGST ₹[ ], Cess ₹[ ]), as shown month by month in Table 1.</w:t>
      </w:r>
    </w:p>
    <w:p>
      <w:pPr>
        <w:pStyle w:val="BodyText"/>
        <w:spacing w:before="0" w:after="120" w:line="269" w:lineRule="auto"/>
        <w:jc w:val="both"/>
      </w:pPr>
      <w:r>
        <w:t xml:space="preserve">3.[n].2 Under section 16(2)(aa) of the CGST Act (in force from 01.01.2022), a registered person is not entitled to credit unless the details of the invoice or debit note have been furnished by the supplier in the statement of outward supplies and communicated to the recipient under section 37. Under rule 36(4) (as substituted with effect from 01.01.2022), no credit can be availed unless the details have been furnished by the supplier in GSTR-1 (as amended in GSTR-1A, if any) or through the invoice furnishing facility and communicated to the recipient in GSTR-2B. Credit of ₹[ ] availed beyond GSTR-2B therefore appears to have been availed in contravention of section 16(2)(aa) read with rule 36(4) [and utilised for payment of output tax].</w:t>
      </w:r>
    </w:p>
    <w:p>
      <w:pPr>
        <w:pStyle w:val="BodyText"/>
        <w:spacing w:before="0" w:after="120" w:line="269" w:lineRule="auto"/>
        <w:jc w:val="both"/>
      </w:pPr>
      <w:r>
        <w:t xml:space="preserve">3.[n].3 [The adjustments allowed are shown in Table 1: credit of earlier years’ invoices availed in this year and reported in Table 8C / 13 of GSTR-9; invoices of this year that appear in GSTR-2B of a later month and were availed within the section 16(4) time limit; credit notes; and reversals in Table 4(B).] [The invoice-wise list of the credit not found in GSTR-2B is Annexure A-[n].]</w:t>
      </w:r>
    </w:p>
    <w:p>
      <w:pPr>
        <w:pStyle w:val="BodyText"/>
        <w:spacing w:before="0" w:after="120" w:line="269" w:lineRule="auto"/>
        <w:jc w:val="both"/>
      </w:pPr>
      <w:r>
        <w:t xml:space="preserve">3.[n].4 [Reply to DRC-01C / ASMT-10 / DRC-01A on this issue, summarised, and why it is not accepted.] The noticee may produce, for any invoice in Annexure A-[n], evidence that the supplier has furnished it in GSTR-1, GSTR-1A or the invoice furnishing facility and that it was communicated in GSTR-2B of a later month within the time allowed; the demand will be reduced to that extent.</w:t>
      </w:r>
    </w:p>
    <w:p>
      <w:pPr>
        <w:pStyle w:val="BodyText"/>
        <w:spacing w:before="0" w:after="120" w:line="269" w:lineRule="auto"/>
      </w:pPr>
      <w:r>
        <w:rPr>
          <w:iCs/>
          <w:i/>
        </w:rPr>
        <w:t xml:space="preserve">Table 1: Credit availed in GSTR-3B against GSTR-2B</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083"/>
        <w:gridCol w:w="1300"/>
        <w:gridCol w:w="1516"/>
        <w:gridCol w:w="1300"/>
        <w:gridCol w:w="1516"/>
        <w:gridCol w:w="1733"/>
        <w:gridCol w:w="1191"/>
      </w:tblGrid>
      <w:tr>
        <w:trPr>
          <w:tblHeader w:val="true"/>
          <w:tblHeader/>
        </w:trPr>
        <w:tc>
          <w:tcPr>
            <w:tcW w:type="dxa" w:w="1083"/>
            <w:shd w:val="clear" w:color="auto" w:fill="DCE6F1"/>
          </w:tcPr>
          <w:p>
            <w:pPr>
              <w:pStyle w:val="Compact"/>
              <w:spacing w:before="0" w:after="0" w:line="240" w:lineRule="auto"/>
              <w:jc w:val="left"/>
            </w:pPr>
            <w:r>
              <w:rPr>
                <w:b/>
                <w:color w:val="1F3864"/>
                <w:sz w:val="18"/>
              </w:rPr>
              <w:t xml:space="preserve">Month</w:t>
            </w:r>
          </w:p>
        </w:tc>
        <w:tc>
          <w:tcPr>
            <w:tcW w:type="dxa" w:w="1300"/>
            <w:shd w:val="clear" w:color="auto" w:fill="DCE6F1"/>
          </w:tcPr>
          <w:p>
            <w:pPr>
              <w:pStyle w:val="Compact"/>
              <w:spacing w:before="0" w:after="0" w:line="240" w:lineRule="auto"/>
              <w:jc w:val="left"/>
            </w:pPr>
            <w:r>
              <w:rPr>
                <w:b/>
                <w:color w:val="1F3864"/>
                <w:sz w:val="18"/>
              </w:rPr>
              <w:t xml:space="preserve">GSTR-3B 4(A)(5) (₹)</w:t>
            </w:r>
          </w:p>
        </w:tc>
        <w:tc>
          <w:tcPr>
            <w:tcW w:type="dxa" w:w="1516"/>
            <w:shd w:val="clear" w:color="auto" w:fill="DCE6F1"/>
          </w:tcPr>
          <w:p>
            <w:pPr>
              <w:pStyle w:val="Compact"/>
              <w:spacing w:before="0" w:after="0" w:line="240" w:lineRule="auto"/>
              <w:jc w:val="left"/>
            </w:pPr>
            <w:r>
              <w:rPr>
                <w:b/>
                <w:color w:val="1F3864"/>
                <w:sz w:val="18"/>
              </w:rPr>
              <w:t xml:space="preserve">Less 4(B) reversals (₹)</w:t>
            </w:r>
          </w:p>
        </w:tc>
        <w:tc>
          <w:tcPr>
            <w:tcW w:type="dxa" w:w="1300"/>
            <w:shd w:val="clear" w:color="auto" w:fill="DCE6F1"/>
          </w:tcPr>
          <w:p>
            <w:pPr>
              <w:pStyle w:val="Compact"/>
              <w:spacing w:before="0" w:after="0" w:line="240" w:lineRule="auto"/>
              <w:jc w:val="left"/>
            </w:pPr>
            <w:r>
              <w:rPr>
                <w:b/>
                <w:color w:val="1F3864"/>
                <w:sz w:val="18"/>
              </w:rPr>
              <w:t xml:space="preserve">Net availed (₹)</w:t>
            </w:r>
          </w:p>
        </w:tc>
        <w:tc>
          <w:tcPr>
            <w:tcW w:type="dxa" w:w="1516"/>
            <w:shd w:val="clear" w:color="auto" w:fill="DCE6F1"/>
          </w:tcPr>
          <w:p>
            <w:pPr>
              <w:pStyle w:val="Compact"/>
              <w:spacing w:before="0" w:after="0" w:line="240" w:lineRule="auto"/>
              <w:jc w:val="left"/>
            </w:pPr>
            <w:r>
              <w:rPr>
                <w:b/>
                <w:color w:val="1F3864"/>
                <w:sz w:val="18"/>
              </w:rPr>
              <w:t xml:space="preserve">GSTR-2B ITC available (₹)</w:t>
            </w:r>
          </w:p>
        </w:tc>
        <w:tc>
          <w:tcPr>
            <w:tcW w:type="dxa" w:w="1733"/>
            <w:shd w:val="clear" w:color="auto" w:fill="DCE6F1"/>
          </w:tcPr>
          <w:p>
            <w:pPr>
              <w:pStyle w:val="Compact"/>
              <w:spacing w:before="0" w:after="0" w:line="240" w:lineRule="auto"/>
              <w:jc w:val="left"/>
            </w:pPr>
            <w:r>
              <w:rPr>
                <w:b/>
                <w:color w:val="1F3864"/>
                <w:sz w:val="18"/>
              </w:rPr>
              <w:t xml:space="preserve">Adjustments (₹)</w:t>
            </w:r>
          </w:p>
        </w:tc>
        <w:tc>
          <w:tcPr>
            <w:tcW w:type="dxa" w:w="1191"/>
            <w:shd w:val="clear" w:color="auto" w:fill="DCE6F1"/>
          </w:tcPr>
          <w:p>
            <w:pPr>
              <w:pStyle w:val="Compact"/>
              <w:spacing w:before="0" w:after="0" w:line="240" w:lineRule="auto"/>
              <w:jc w:val="left"/>
            </w:pPr>
            <w:r>
              <w:rPr>
                <w:b/>
                <w:color w:val="1F3864"/>
                <w:sz w:val="18"/>
              </w:rPr>
              <w:t xml:space="preserve">Excess (₹)</w:t>
            </w:r>
          </w:p>
        </w:tc>
      </w:tr>
      <w:tr>
        <w:tc>
          <w:tcPr>
            <w:tcW w:type="dxa" w:w="1083"/>
          </w:tcPr>
          <w:p>
            <w:pPr>
              <w:pStyle w:val="Compact"/>
              <w:spacing w:before="0" w:after="0" w:line="240" w:lineRule="auto"/>
              <w:jc w:val="left"/>
            </w:pPr>
            <w:r>
              <w:rPr>
                <w:sz w:val="18"/>
              </w:rPr>
              <w:t xml:space="preserve">[Mon YYYY]</w:t>
            </w:r>
          </w:p>
        </w:tc>
        <w:tc>
          <w:tcPr>
            <w:tcW w:type="dxa" w:w="1300"/>
          </w:tcPr>
          <w:p>
            <w:pPr>
              <w:pStyle w:val="Compact"/>
              <w:spacing w:before="0" w:after="0" w:line="240" w:lineRule="auto"/>
              <w:jc w:val="left"/>
            </w:pPr>
            <w:r>
              <w:rPr>
                <w:sz w:val="18"/>
              </w:rPr>
              <w:t xml:space="preserve">[ ]</w:t>
            </w:r>
          </w:p>
        </w:tc>
        <w:tc>
          <w:tcPr>
            <w:tcW w:type="dxa" w:w="1516"/>
          </w:tcPr>
          <w:p>
            <w:pPr>
              <w:pStyle w:val="Compact"/>
              <w:spacing w:before="0" w:after="0" w:line="240" w:lineRule="auto"/>
              <w:jc w:val="left"/>
            </w:pPr>
            <w:r>
              <w:rPr>
                <w:sz w:val="18"/>
              </w:rPr>
              <w:t xml:space="preserve">[ ]</w:t>
            </w:r>
          </w:p>
        </w:tc>
        <w:tc>
          <w:tcPr>
            <w:tcW w:type="dxa" w:w="1300"/>
          </w:tcPr>
          <w:p>
            <w:pPr>
              <w:pStyle w:val="Compact"/>
              <w:spacing w:before="0" w:after="0" w:line="240" w:lineRule="auto"/>
              <w:jc w:val="left"/>
            </w:pPr>
            <w:r>
              <w:rPr>
                <w:sz w:val="18"/>
              </w:rPr>
              <w:t xml:space="preserve">[ ]</w:t>
            </w:r>
          </w:p>
        </w:tc>
        <w:tc>
          <w:tcPr>
            <w:tcW w:type="dxa" w:w="1516"/>
          </w:tcPr>
          <w:p>
            <w:pPr>
              <w:pStyle w:val="Compact"/>
              <w:spacing w:before="0" w:after="0" w:line="240" w:lineRule="auto"/>
              <w:jc w:val="left"/>
            </w:pPr>
            <w:r>
              <w:rPr>
                <w:sz w:val="18"/>
              </w:rPr>
              <w:t xml:space="preserve">[ ]</w:t>
            </w:r>
          </w:p>
        </w:tc>
        <w:tc>
          <w:tcPr>
            <w:tcW w:type="dxa" w:w="1733"/>
          </w:tcPr>
          <w:p>
            <w:pPr>
              <w:pStyle w:val="Compact"/>
              <w:spacing w:before="0" w:after="0" w:line="240" w:lineRule="auto"/>
              <w:jc w:val="left"/>
            </w:pPr>
            <w:r>
              <w:rPr>
                <w:sz w:val="18"/>
              </w:rPr>
              <w:t xml:space="preserve">[ ]</w:t>
            </w:r>
          </w:p>
        </w:tc>
        <w:tc>
          <w:tcPr>
            <w:tcW w:type="dxa" w:w="1191"/>
          </w:tcPr>
          <w:p>
            <w:pPr>
              <w:pStyle w:val="Compact"/>
              <w:spacing w:before="0" w:after="0" w:line="240" w:lineRule="auto"/>
              <w:jc w:val="left"/>
            </w:pPr>
            <w:r>
              <w:rPr>
                <w:sz w:val="18"/>
              </w:rPr>
              <w:t xml:space="preserve">[ ]</w:t>
            </w:r>
          </w:p>
        </w:tc>
      </w:tr>
      <w:tr>
        <w:tc>
          <w:tcPr>
            <w:tcW w:type="dxa" w:w="1083"/>
            <w:shd w:val="clear" w:color="auto" w:fill="F2F2F2"/>
          </w:tcPr>
          <w:p>
            <w:pPr>
              <w:pStyle w:val="Compact"/>
              <w:spacing w:before="0" w:after="0" w:line="240" w:lineRule="auto"/>
              <w:jc w:val="left"/>
            </w:pPr>
            <w:r>
              <w:rPr>
                <w:sz w:val="18"/>
              </w:rPr>
              <w:t xml:space="preserve">Total</w:t>
            </w:r>
          </w:p>
        </w:tc>
        <w:tc>
          <w:tcPr>
            <w:tcW w:type="dxa" w:w="1300"/>
            <w:shd w:val="clear" w:color="auto" w:fill="F2F2F2"/>
          </w:tcPr>
          <w:p>
            <w:pPr>
              <w:pStyle w:val="Compact"/>
              <w:spacing w:before="0" w:after="0" w:line="240" w:lineRule="auto"/>
              <w:jc w:val="left"/>
            </w:pPr>
            <w:r>
              <w:rPr>
                <w:sz w:val="18"/>
              </w:rPr>
              <w:t xml:space="preserve">[ ]</w:t>
            </w:r>
          </w:p>
        </w:tc>
        <w:tc>
          <w:tcPr>
            <w:tcW w:type="dxa" w:w="1516"/>
            <w:shd w:val="clear" w:color="auto" w:fill="F2F2F2"/>
          </w:tcPr>
          <w:p>
            <w:pPr>
              <w:pStyle w:val="Compact"/>
              <w:spacing w:before="0" w:after="0" w:line="240" w:lineRule="auto"/>
              <w:jc w:val="left"/>
            </w:pPr>
            <w:r>
              <w:rPr>
                <w:sz w:val="18"/>
              </w:rPr>
              <w:t xml:space="preserve">[ ]</w:t>
            </w:r>
          </w:p>
        </w:tc>
        <w:tc>
          <w:tcPr>
            <w:tcW w:type="dxa" w:w="1300"/>
            <w:shd w:val="clear" w:color="auto" w:fill="F2F2F2"/>
          </w:tcPr>
          <w:p>
            <w:pPr>
              <w:pStyle w:val="Compact"/>
              <w:spacing w:before="0" w:after="0" w:line="240" w:lineRule="auto"/>
              <w:jc w:val="left"/>
            </w:pPr>
            <w:r>
              <w:rPr>
                <w:sz w:val="18"/>
              </w:rPr>
              <w:t xml:space="preserve">[ ]</w:t>
            </w:r>
          </w:p>
        </w:tc>
        <w:tc>
          <w:tcPr>
            <w:tcW w:type="dxa" w:w="1516"/>
            <w:shd w:val="clear" w:color="auto" w:fill="F2F2F2"/>
          </w:tcPr>
          <w:p>
            <w:pPr>
              <w:pStyle w:val="Compact"/>
              <w:spacing w:before="0" w:after="0" w:line="240" w:lineRule="auto"/>
              <w:jc w:val="left"/>
            </w:pPr>
            <w:r>
              <w:rPr>
                <w:sz w:val="18"/>
              </w:rPr>
              <w:t xml:space="preserve">[ ]</w:t>
            </w:r>
          </w:p>
        </w:tc>
        <w:tc>
          <w:tcPr>
            <w:tcW w:type="dxa" w:w="1733"/>
            <w:shd w:val="clear" w:color="auto" w:fill="F2F2F2"/>
          </w:tcPr>
          <w:p>
            <w:pPr>
              <w:pStyle w:val="Compact"/>
              <w:spacing w:before="0" w:after="0" w:line="240" w:lineRule="auto"/>
              <w:jc w:val="left"/>
            </w:pPr>
            <w:r>
              <w:rPr>
                <w:sz w:val="18"/>
              </w:rPr>
              <w:t xml:space="preserve">[ ]</w:t>
            </w:r>
          </w:p>
        </w:tc>
        <w:tc>
          <w:tcPr>
            <w:tcW w:type="dxa" w:w="1191"/>
            <w:shd w:val="clear" w:color="auto" w:fill="F2F2F2"/>
          </w:tcPr>
          <w:p>
            <w:pPr>
              <w:pStyle w:val="Compact"/>
              <w:spacing w:before="0" w:after="0" w:line="240" w:lineRule="auto"/>
              <w:jc w:val="left"/>
            </w:pPr>
            <w:r>
              <w:rPr>
                <w:sz w:val="18"/>
              </w:rPr>
              <w:t xml:space="preserve">[ ]</w:t>
            </w:r>
          </w:p>
        </w:tc>
      </w:tr>
    </w:tbl>
    <w:p>
      <w:pPr>
        <w:pStyle w:val="BodyText"/>
        <w:spacing w:before="0" w:after="120" w:line="269" w:lineRule="auto"/>
      </w:pPr>
      <w:r>
        <w:t xml:space="preserve">[Give the table head by head (IGST, CGST, SGST, Cess), or one table per head.]</w:t>
      </w:r>
    </w:p>
    <w:p>
      <w:pPr>
        <w:pStyle w:val="BodyText"/>
        <w:spacing w:before="0" w:after="120" w:line="269" w:lineRule="auto"/>
        <w:jc w:val="both"/>
      </w:pPr>
      <w:r>
        <w:rPr>
          <w:bCs/>
          <w:b/>
        </w:rPr>
        <w:t xml:space="preserve">(b) Provisions:</w:t>
      </w:r>
      <w:r>
        <w:t xml:space="preserve"> </w:t>
      </w:r>
      <w:r>
        <w:t xml:space="preserve">section 16(2)(aa); rule 36(4); section 16(4) (for adjustments); section [73] [74A] for the demand; section 50(3) and rule 88B(3) for interest.</w:t>
      </w:r>
    </w:p>
    <w:p>
      <w:pPr>
        <w:pStyle w:val="BodyText"/>
        <w:spacing w:before="0" w:after="120" w:line="269" w:lineRule="auto"/>
        <w:jc w:val="both"/>
      </w:pPr>
      <w:r>
        <w:rPr>
          <w:bCs/>
          <w:b/>
        </w:rPr>
        <w:t xml:space="preserve">(c) Evidence:</w:t>
      </w:r>
      <w:r>
        <w:t xml:space="preserve"> </w:t>
      </w:r>
      <w:r>
        <w:t xml:space="preserve">GSTR-3B (Table 4), GSTR-2B for each month with the download date, GSTR-9 Tables 6, 8 and 13, DRC-01C and the reply (rule 88D), the invoice-wise list.</w:t>
      </w:r>
    </w:p>
    <w:p>
      <w:pPr>
        <w:pStyle w:val="BlockText"/>
        <w:shd w:val="clear" w:color="auto" w:fill="E7E6E6"/>
      </w:pPr>
      <w:r>
        <w:rPr>
          <w:bCs/>
          <w:b/>
          <w:sz w:val="21"/>
        </w:rPr>
        <w:t xml:space="preserve">(e) Verify before issuing.</w:t>
      </w:r>
      <w:r>
        <w:rPr>
          <w:sz w:val="21"/>
        </w:rPr>
        <w:t xml:space="preserve"> </w:t>
      </w:r>
      <w:r>
        <w:rPr>
          <w:sz w:val="21"/>
        </w:rPr>
        <w:t xml:space="preserve">(1) The period is on or after 01.01.2022. For earlier periods, use GSTR-2A, do not rest the demand on non-reflection alone, and invite the certificates under Circular No. 183/15/2022-GST (FY 2017-18 and 2018-19) or Circular No. 193/05/2023-GST (01.04.2019 to 31.12.2021). (2) Compare with GSTR-</w:t>
      </w:r>
      <w:r>
        <w:rPr>
          <w:bCs/>
          <w:b/>
          <w:sz w:val="21"/>
        </w:rPr>
        <w:t xml:space="preserve">2B</w:t>
      </w:r>
      <w:r>
        <w:rPr>
          <w:sz w:val="21"/>
        </w:rPr>
        <w:t xml:space="preserve">, not GSTR-2A, and exclude RCM and import credit from both sides. (3) Allow for year-boundary credit and for invoices appearing in a later month’s GSTR-2B. (4) Attach the invoice-wise list; a gross figure alone invites remand. (5) Do</w:t>
      </w:r>
      <w:r>
        <w:rPr>
          <w:sz w:val="21"/>
        </w:rPr>
        <w:t xml:space="preserve"> </w:t>
      </w:r>
      <w:r>
        <w:rPr>
          <w:bCs/>
          <w:b/>
          <w:sz w:val="21"/>
        </w:rPr>
        <w:t xml:space="preserve">not</w:t>
      </w:r>
      <w:r>
        <w:rPr>
          <w:sz w:val="21"/>
        </w:rPr>
        <w:t xml:space="preserve"> </w:t>
      </w:r>
      <w:r>
        <w:rPr>
          <w:sz w:val="21"/>
        </w:rPr>
        <w:t xml:space="preserve">charge this as</w:t>
      </w:r>
      <w:r>
        <w:rPr>
          <w:sz w:val="21"/>
        </w:rPr>
        <w:t xml:space="preserve"> </w:t>
      </w:r>
      <w:r>
        <w:rPr>
          <w:sz w:val="21"/>
        </w:rPr>
        <w:t xml:space="preserve">“</w:t>
      </w:r>
      <w:r>
        <w:rPr>
          <w:sz w:val="21"/>
        </w:rPr>
        <w:t xml:space="preserve">the supplier did not pay the tax</w:t>
      </w:r>
      <w:r>
        <w:rPr>
          <w:sz w:val="21"/>
        </w:rPr>
        <w:t xml:space="preserve">”</w:t>
      </w:r>
      <w:r>
        <w:rPr>
          <w:sz w:val="21"/>
        </w:rPr>
        <w:t xml:space="preserve"> </w:t>
      </w:r>
      <w:r>
        <w:rPr>
          <w:sz w:val="21"/>
        </w:rPr>
        <w:t xml:space="preserve">(section 16(2)(c)) unless you have verified the supplier’s default: that is Module 2. (6) Check whether the credit was utilised before proposing section 50(3) interest (A1 para 7.3). (7) Section 74 is not invoked on a mismatch alone (</w:t>
      </w:r>
      <w:r>
        <w:rPr>
          <w:iCs/>
          <w:i/>
          <w:sz w:val="21"/>
        </w:rPr>
        <w:t xml:space="preserve">Sterling &amp; Wilson</w:t>
      </w:r>
      <w:r>
        <w:rPr>
          <w:sz w:val="21"/>
        </w:rPr>
        <w:t xml:space="preserve">, GSTAT Principal Bench, 11.02.2026).</w:t>
      </w:r>
    </w:p>
    <w:bookmarkEnd w:id="21"/>
    <w:bookmarkStart w:id="22" w:name="Xae1a7c560fcfc6a05ba8e3afc30da15760700a7"/>
    <w:p>
      <w:pPr>
        <w:pStyle w:val="Heading3"/>
        <w:keepNext/>
        <w:spacing w:before="240" w:after="80"/>
        <w:pBdr>
          <w:bottom w:val="single" w:sz="6" w:space="1" w:color="B4C6E7"/>
        </w:pBdr>
      </w:pPr>
      <w:r>
        <w:rPr>
          <w:b/>
          <w:color w:val="1F3864"/>
          <w:sz w:val="25"/>
        </w:rPr>
        <w:t xml:space="preserve">Module 2. Supplier did not pay the tax; cancelled supplier (section 16(2)(c))</w:t>
      </w:r>
    </w:p>
    <w:p>
      <w:pPr>
        <w:pStyle w:val="FirstParagraph"/>
        <w:spacing w:before="0" w:after="120" w:line="269" w:lineRule="auto"/>
      </w:pPr>
      <w:r>
        <w:rPr>
          <w:bCs/>
          <w:b/>
        </w:rPr>
        <w:t xml:space="preserve">(a) Allegation</w:t>
      </w:r>
    </w:p>
    <w:p>
      <w:pPr>
        <w:pStyle w:val="BodyText"/>
        <w:spacing w:before="0" w:after="120" w:line="269" w:lineRule="auto"/>
        <w:jc w:val="both"/>
      </w:pPr>
      <w:r>
        <w:t xml:space="preserve">3.[n].1 The noticee availed credit of ₹[ ] on [ ] invoices issued by the suppliers listed in Table 2 (RUD-[ ]) during [period]. Verification of the suppliers’ returns and ledgers shows that the tax charged on those invoices has not been paid to the Government: [for supplier S-1, GSTIN [ ]: GSTR-1 for [months] reports the invoices, but no GSTR-3B was filed for those months / GSTR-3B shows tax of ₹[ ] against GSTR-1 tax of ₹[ ] and the electronic cash and credit ledgers show no payment of the difference (RUD-[ ], extracted on [DD.MM.YYYY])]. [Registration of supplier S-[ ] was cancelled on [DD.MM.YYYY] with effect from [DD.MM.YYYY]; on the invoice dates its registration was [active / cancelled].]</w:t>
      </w:r>
    </w:p>
    <w:p>
      <w:pPr>
        <w:pStyle w:val="BodyText"/>
        <w:spacing w:before="0" w:after="120" w:line="269" w:lineRule="auto"/>
        <w:jc w:val="both"/>
      </w:pPr>
      <w:r>
        <w:t xml:space="preserve">3.[n].2 Under section 16(2)(c), a registered person is not entitled to credit unless the tax charged in respect of the supply has been actually paid to the Government, in cash or through utilisation of admissible credit, subject to section 41. Under section 41(2), credit availed on supplies on which the supplier has not paid the tax is to be reversed with interest; under its proviso, the recipient may re-avail the credit when the supplier pays the tax. The Supreme Court has held section 16(2)(c) valid and declined to read it down in favour of bona fide purchasers (</w:t>
      </w:r>
      <w:r>
        <w:rPr>
          <w:iCs/>
          <w:i/>
        </w:rPr>
        <w:t xml:space="preserve">Bhandari Scrap Traders v. Union of India</w:t>
      </w:r>
      <w:r>
        <w:t xml:space="preserve">, SLP (C) No. 23931 of 2026, 24.07.2026, affirming the Gujarat High Court).</w:t>
      </w:r>
    </w:p>
    <w:p>
      <w:pPr>
        <w:pStyle w:val="BodyText"/>
        <w:spacing w:before="0" w:after="120" w:line="269" w:lineRule="auto"/>
        <w:jc w:val="both"/>
      </w:pPr>
      <w:r>
        <w:t xml:space="preserve">3.[n].3</w:t>
      </w:r>
      <w:r>
        <w:t xml:space="preserve"> </w:t>
      </w:r>
      <w:r>
        <w:rPr>
          <w:bCs/>
          <w:b/>
        </w:rPr>
        <w:t xml:space="preserve">Action taken against the suppliers.</w:t>
      </w:r>
      <w:r>
        <w:t xml:space="preserve"> </w:t>
      </w:r>
      <w:r>
        <w:t xml:space="preserve">[For each supplier: letter dated [ ] to the jurisdictional officer [Central / State], reply dated [ ]; [notice / DRC-01D / recovery] issued to the supplier on [ ]; result: [ ].] The supplier’s default has not been made good up to [DD.MM.YYYY].</w:t>
      </w:r>
    </w:p>
    <w:p>
      <w:pPr>
        <w:pStyle w:val="BodyText"/>
        <w:spacing w:before="0" w:after="120" w:line="269" w:lineRule="auto"/>
        <w:jc w:val="both"/>
      </w:pPr>
      <w:r>
        <w:t xml:space="preserve">3.[n].4 The noticee is invited to produce, for each invoice: the tax invoice; proof of payment to the supplier of the value and the tax through banking channels; proof of receipt of the goods or services (e-way bill, transport documents, goods receipt, stock entry, service records); and any evidence that the supplier has since paid the tax. Credit will be dropped from this proposal to the extent the supplier’s payment is shown.</w:t>
      </w:r>
    </w:p>
    <w:p>
      <w:pPr>
        <w:pStyle w:val="BodyText"/>
        <w:spacing w:before="0" w:after="120" w:line="269" w:lineRule="auto"/>
      </w:pPr>
      <w:r>
        <w:rPr>
          <w:iCs/>
          <w:i/>
        </w:rPr>
        <w:t xml:space="preserve">Table 2: Supplier-wise credit on which tax is not paid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30"/>
        <w:gridCol w:w="1209"/>
        <w:gridCol w:w="1983"/>
        <w:gridCol w:w="1209"/>
        <w:gridCol w:w="1116"/>
        <w:gridCol w:w="1983"/>
        <w:gridCol w:w="1209"/>
      </w:tblGrid>
      <w:tr>
        <w:trPr>
          <w:tblHeader w:val="true"/>
          <w:tblHeader/>
        </w:trPr>
        <w:tc>
          <w:tcPr>
            <w:tcW w:type="dxa" w:w="930"/>
            <w:shd w:val="clear" w:color="auto" w:fill="DCE6F1"/>
          </w:tcPr>
          <w:p>
            <w:pPr>
              <w:pStyle w:val="Compact"/>
              <w:spacing w:before="0" w:after="0" w:line="240" w:lineRule="auto"/>
              <w:jc w:val="left"/>
            </w:pPr>
            <w:r>
              <w:rPr>
                <w:b/>
                <w:color w:val="1F3864"/>
                <w:sz w:val="18"/>
              </w:rPr>
              <w:t xml:space="preserve">No.</w:t>
            </w:r>
          </w:p>
        </w:tc>
        <w:tc>
          <w:tcPr>
            <w:tcW w:type="dxa" w:w="1209"/>
            <w:shd w:val="clear" w:color="auto" w:fill="DCE6F1"/>
          </w:tcPr>
          <w:p>
            <w:pPr>
              <w:pStyle w:val="Compact"/>
              <w:spacing w:before="0" w:after="0" w:line="240" w:lineRule="auto"/>
              <w:jc w:val="left"/>
            </w:pPr>
            <w:r>
              <w:rPr>
                <w:b/>
                <w:color w:val="1F3864"/>
                <w:sz w:val="18"/>
              </w:rPr>
              <w:t xml:space="preserve">Supplier and GSTIN</w:t>
            </w:r>
          </w:p>
        </w:tc>
        <w:tc>
          <w:tcPr>
            <w:tcW w:type="dxa" w:w="1983"/>
            <w:shd w:val="clear" w:color="auto" w:fill="DCE6F1"/>
          </w:tcPr>
          <w:p>
            <w:pPr>
              <w:pStyle w:val="Compact"/>
              <w:spacing w:before="0" w:after="0" w:line="240" w:lineRule="auto"/>
              <w:jc w:val="left"/>
            </w:pPr>
            <w:r>
              <w:rPr>
                <w:b/>
                <w:color w:val="1F3864"/>
                <w:sz w:val="18"/>
              </w:rPr>
              <w:t xml:space="preserve">Registration status on invoice date</w:t>
            </w:r>
          </w:p>
        </w:tc>
        <w:tc>
          <w:tcPr>
            <w:tcW w:type="dxa" w:w="1209"/>
            <w:shd w:val="clear" w:color="auto" w:fill="DCE6F1"/>
          </w:tcPr>
          <w:p>
            <w:pPr>
              <w:pStyle w:val="Compact"/>
              <w:spacing w:before="0" w:after="0" w:line="240" w:lineRule="auto"/>
              <w:jc w:val="left"/>
            </w:pPr>
            <w:r>
              <w:rPr>
                <w:b/>
                <w:color w:val="1F3864"/>
                <w:sz w:val="18"/>
              </w:rPr>
              <w:t xml:space="preserve">Invoices (number, dates)</w:t>
            </w:r>
          </w:p>
        </w:tc>
        <w:tc>
          <w:tcPr>
            <w:tcW w:type="dxa" w:w="1116"/>
            <w:shd w:val="clear" w:color="auto" w:fill="DCE6F1"/>
          </w:tcPr>
          <w:p>
            <w:pPr>
              <w:pStyle w:val="Compact"/>
              <w:spacing w:before="0" w:after="0" w:line="240" w:lineRule="auto"/>
              <w:jc w:val="left"/>
            </w:pPr>
            <w:r>
              <w:rPr>
                <w:b/>
                <w:color w:val="1F3864"/>
                <w:sz w:val="18"/>
              </w:rPr>
              <w:t xml:space="preserve">Credit availed (₹)</w:t>
            </w:r>
          </w:p>
        </w:tc>
        <w:tc>
          <w:tcPr>
            <w:tcW w:type="dxa" w:w="1983"/>
            <w:shd w:val="clear" w:color="auto" w:fill="DCE6F1"/>
          </w:tcPr>
          <w:p>
            <w:pPr>
              <w:pStyle w:val="Compact"/>
              <w:spacing w:before="0" w:after="0" w:line="240" w:lineRule="auto"/>
              <w:jc w:val="left"/>
            </w:pPr>
            <w:r>
              <w:rPr>
                <w:b/>
                <w:color w:val="1F3864"/>
                <w:sz w:val="18"/>
              </w:rPr>
              <w:t xml:space="preserve">Supplier’s return and payment position (source, date checked)</w:t>
            </w:r>
          </w:p>
        </w:tc>
        <w:tc>
          <w:tcPr>
            <w:tcW w:type="dxa" w:w="1209"/>
            <w:shd w:val="clear" w:color="auto" w:fill="DCE6F1"/>
          </w:tcPr>
          <w:p>
            <w:pPr>
              <w:pStyle w:val="Compact"/>
              <w:spacing w:before="0" w:after="0" w:line="240" w:lineRule="auto"/>
              <w:jc w:val="left"/>
            </w:pPr>
            <w:r>
              <w:rPr>
                <w:b/>
                <w:color w:val="1F3864"/>
                <w:sz w:val="18"/>
              </w:rPr>
              <w:t xml:space="preserve">Credit proposed (₹)</w:t>
            </w:r>
          </w:p>
        </w:tc>
      </w:tr>
      <w:tr>
        <w:tc>
          <w:tcPr>
            <w:tcW w:type="dxa" w:w="930"/>
          </w:tcPr>
          <w:p>
            <w:pPr>
              <w:pStyle w:val="Compact"/>
              <w:spacing w:before="0" w:after="0" w:line="240" w:lineRule="auto"/>
              <w:jc w:val="left"/>
            </w:pPr>
            <w:r>
              <w:rPr>
                <w:sz w:val="18"/>
              </w:rPr>
              <w:t xml:space="preserve">S-1</w:t>
            </w:r>
          </w:p>
        </w:tc>
        <w:tc>
          <w:tcPr>
            <w:tcW w:type="dxa" w:w="1209"/>
          </w:tcPr>
          <w:p>
            <w:pPr>
              <w:pStyle w:val="Compact"/>
              <w:spacing w:before="0" w:after="0" w:line="240" w:lineRule="auto"/>
              <w:jc w:val="left"/>
            </w:pPr>
            <w:r>
              <w:rPr>
                <w:sz w:val="18"/>
              </w:rPr>
              <w:t xml:space="preserve">[ ]</w:t>
            </w:r>
          </w:p>
        </w:tc>
        <w:tc>
          <w:tcPr>
            <w:tcW w:type="dxa" w:w="1983"/>
          </w:tcPr>
          <w:p>
            <w:pPr>
              <w:pStyle w:val="Compact"/>
              <w:spacing w:before="0" w:after="0" w:line="240" w:lineRule="auto"/>
              <w:jc w:val="left"/>
            </w:pPr>
            <w:r>
              <w:rPr>
                <w:sz w:val="18"/>
              </w:rPr>
              <w:t xml:space="preserve">[Active / cancelled from [ ]]</w:t>
            </w:r>
          </w:p>
        </w:tc>
        <w:tc>
          <w:tcPr>
            <w:tcW w:type="dxa" w:w="1209"/>
          </w:tcPr>
          <w:p>
            <w:pPr>
              <w:pStyle w:val="Compact"/>
              <w:spacing w:before="0" w:after="0" w:line="240" w:lineRule="auto"/>
              <w:jc w:val="left"/>
            </w:pPr>
            <w:r>
              <w:rPr>
                <w:sz w:val="18"/>
              </w:rPr>
              <w:t xml:space="preserve">[ ]</w:t>
            </w:r>
          </w:p>
        </w:tc>
        <w:tc>
          <w:tcPr>
            <w:tcW w:type="dxa" w:w="1116"/>
          </w:tcPr>
          <w:p>
            <w:pPr>
              <w:pStyle w:val="Compact"/>
              <w:spacing w:before="0" w:after="0" w:line="240" w:lineRule="auto"/>
              <w:jc w:val="left"/>
            </w:pPr>
            <w:r>
              <w:rPr>
                <w:sz w:val="18"/>
              </w:rPr>
              <w:t xml:space="preserve">[ ]</w:t>
            </w:r>
          </w:p>
        </w:tc>
        <w:tc>
          <w:tcPr>
            <w:tcW w:type="dxa" w:w="1983"/>
          </w:tcPr>
          <w:p>
            <w:pPr>
              <w:pStyle w:val="Compact"/>
              <w:spacing w:before="0" w:after="0" w:line="240" w:lineRule="auto"/>
              <w:jc w:val="left"/>
            </w:pPr>
            <w:r>
              <w:rPr>
                <w:sz w:val="18"/>
              </w:rPr>
              <w:t xml:space="preserve">[ ]</w:t>
            </w:r>
          </w:p>
        </w:tc>
        <w:tc>
          <w:tcPr>
            <w:tcW w:type="dxa" w:w="1209"/>
          </w:tcPr>
          <w:p>
            <w:pPr>
              <w:pStyle w:val="Compact"/>
              <w:spacing w:before="0" w:after="0" w:line="240" w:lineRule="auto"/>
              <w:jc w:val="left"/>
            </w:pPr>
            <w:r>
              <w:rPr>
                <w:sz w:val="18"/>
              </w:rPr>
              <w:t xml:space="preserve">[ ]</w:t>
            </w:r>
          </w:p>
        </w:tc>
      </w:tr>
      <w:tr>
        <w:tc>
          <w:tcPr>
            <w:tcW w:type="dxa" w:w="930"/>
            <w:shd w:val="clear" w:color="auto" w:fill="F2F2F2"/>
          </w:tcPr>
          <w:p>
            <w:pPr>
              <w:pStyle w:val="Compact"/>
              <w:spacing w:before="0" w:after="0" w:line="240" w:lineRule="auto"/>
              <w:jc w:val="left"/>
            </w:pPr>
            <w:r>
              <w:rPr>
                <w:sz w:val="18"/>
              </w:rPr>
              <w:t xml:space="preserve">Total</w:t>
            </w:r>
          </w:p>
        </w:tc>
        <w:tc>
          <w:tcPr>
            <w:tcW w:type="dxa" w:w="1209"/>
            <w:shd w:val="clear" w:color="auto" w:fill="F2F2F2"/>
          </w:tcPr>
          <w:p>
            <w:pPr>
              <w:pStyle w:val="Compact"/>
              <w:spacing w:before="0" w:after="0" w:line="240" w:lineRule="auto"/>
            </w:pPr>
          </w:p>
        </w:tc>
        <w:tc>
          <w:tcPr>
            <w:tcW w:type="dxa" w:w="1983"/>
            <w:shd w:val="clear" w:color="auto" w:fill="F2F2F2"/>
          </w:tcPr>
          <w:p>
            <w:pPr>
              <w:pStyle w:val="Compact"/>
              <w:spacing w:before="0" w:after="0" w:line="240" w:lineRule="auto"/>
            </w:pPr>
          </w:p>
        </w:tc>
        <w:tc>
          <w:tcPr>
            <w:tcW w:type="dxa" w:w="1209"/>
            <w:shd w:val="clear" w:color="auto" w:fill="F2F2F2"/>
          </w:tcPr>
          <w:p>
            <w:pPr>
              <w:pStyle w:val="Compact"/>
              <w:spacing w:before="0" w:after="0" w:line="240" w:lineRule="auto"/>
            </w:pPr>
          </w:p>
        </w:tc>
        <w:tc>
          <w:tcPr>
            <w:tcW w:type="dxa" w:w="1116"/>
            <w:shd w:val="clear" w:color="auto" w:fill="F2F2F2"/>
          </w:tcPr>
          <w:p>
            <w:pPr>
              <w:pStyle w:val="Compact"/>
              <w:spacing w:before="0" w:after="0" w:line="240" w:lineRule="auto"/>
              <w:jc w:val="left"/>
            </w:pPr>
            <w:r>
              <w:rPr>
                <w:sz w:val="18"/>
              </w:rPr>
              <w:t xml:space="preserve">[ ]</w:t>
            </w:r>
          </w:p>
        </w:tc>
        <w:tc>
          <w:tcPr>
            <w:tcW w:type="dxa" w:w="1983"/>
            <w:shd w:val="clear" w:color="auto" w:fill="F2F2F2"/>
          </w:tcPr>
          <w:p>
            <w:pPr>
              <w:pStyle w:val="Compact"/>
              <w:spacing w:before="0" w:after="0" w:line="240" w:lineRule="auto"/>
            </w:pPr>
          </w:p>
        </w:tc>
        <w:tc>
          <w:tcPr>
            <w:tcW w:type="dxa" w:w="1209"/>
            <w:shd w:val="clear" w:color="auto" w:fill="F2F2F2"/>
          </w:tcPr>
          <w:p>
            <w:pPr>
              <w:pStyle w:val="Compact"/>
              <w:spacing w:before="0" w:after="0" w:line="240" w:lineRule="auto"/>
              <w:jc w:val="left"/>
            </w:pPr>
            <w:r>
              <w:rPr>
                <w:sz w:val="18"/>
              </w:rPr>
              <w:t xml:space="preserve">[ ]</w:t>
            </w:r>
          </w:p>
        </w:tc>
      </w:tr>
    </w:tbl>
    <w:p>
      <w:pPr>
        <w:pStyle w:val="BodyText"/>
        <w:spacing w:before="0" w:after="120" w:line="269" w:lineRule="auto"/>
        <w:jc w:val="both"/>
      </w:pPr>
      <w:r>
        <w:rPr>
          <w:bCs/>
          <w:b/>
        </w:rPr>
        <w:t xml:space="preserve">(b) Provisions:</w:t>
      </w:r>
      <w:r>
        <w:t xml:space="preserve"> </w:t>
      </w:r>
      <w:r>
        <w:t xml:space="preserve">section 16(2)(c); section 41(2) and its proviso; section 155 (burden of proving eligibility on the claimant); section [73] [74A]; section 50(3).</w:t>
      </w:r>
    </w:p>
    <w:p>
      <w:pPr>
        <w:pStyle w:val="BodyText"/>
        <w:spacing w:before="0" w:after="120" w:line="269" w:lineRule="auto"/>
        <w:jc w:val="both"/>
      </w:pPr>
      <w:r>
        <w:rPr>
          <w:bCs/>
          <w:b/>
        </w:rPr>
        <w:t xml:space="preserve">(c) Evidence:</w:t>
      </w:r>
      <w:r>
        <w:t xml:space="preserve"> </w:t>
      </w:r>
      <w:r>
        <w:t xml:space="preserve">supplier’s GSTR-1, GSTR-3B and ledger extracts (with the date checked), cancellation order and its effective date, correspondence with the supplier’s jurisdiction, the noticee’s purchase register and payment records.</w:t>
      </w:r>
    </w:p>
    <w:p>
      <w:pPr>
        <w:pStyle w:val="BlockText"/>
        <w:shd w:val="clear" w:color="auto" w:fill="E7E6E6"/>
      </w:pPr>
      <w:r>
        <w:rPr>
          <w:bCs/>
          <w:b/>
          <w:sz w:val="21"/>
        </w:rPr>
        <w:t xml:space="preserve">(e) Verify before issuing.</w:t>
      </w:r>
      <w:r>
        <w:rPr>
          <w:sz w:val="21"/>
        </w:rPr>
        <w:t xml:space="preserve"> </w:t>
      </w:r>
      <w:r>
        <w:rPr>
          <w:sz w:val="21"/>
        </w:rPr>
        <w:t xml:space="preserve">(1) A</w:t>
      </w:r>
      <w:r>
        <w:rPr>
          <w:sz w:val="21"/>
        </w:rPr>
        <w:t xml:space="preserve"> </w:t>
      </w:r>
      <w:r>
        <w:rPr>
          <w:bCs/>
          <w:b/>
          <w:sz w:val="21"/>
        </w:rPr>
        <w:t xml:space="preserve">verified</w:t>
      </w:r>
      <w:r>
        <w:rPr>
          <w:sz w:val="21"/>
        </w:rPr>
        <w:t xml:space="preserve"> </w:t>
      </w:r>
      <w:r>
        <w:rPr>
          <w:sz w:val="21"/>
        </w:rPr>
        <w:t xml:space="preserve">finding, supplier by supplier, that the tax was not paid: the supplier’s GSTR-3B and cash/credit ledger, not just a 2A/2B gap. (2) The steps taken against the supplier, and their result, are recorded. (3) A later, retrospective cancellation of the supplier is not by itself a reason to deny credit; check what the supplier filed and paid for the invoice months. (4) The buyer’s evidence is invited (para 3.[n].4) and will be considered. (5) Say that the credit can be re-availed when the supplier pays (section 41(2) proviso). (6) If a noticee relies on</w:t>
      </w:r>
      <w:r>
        <w:rPr>
          <w:sz w:val="21"/>
        </w:rPr>
        <w:t xml:space="preserve"> </w:t>
      </w:r>
      <w:r>
        <w:rPr>
          <w:iCs/>
          <w:i/>
          <w:sz w:val="21"/>
        </w:rPr>
        <w:t xml:space="preserve">Sahil Enterprises</w:t>
      </w:r>
      <w:r>
        <w:rPr>
          <w:sz w:val="21"/>
        </w:rPr>
        <w:t xml:space="preserve"> </w:t>
      </w:r>
      <w:r>
        <w:rPr>
          <w:sz w:val="21"/>
        </w:rPr>
        <w:t xml:space="preserve">(Tripura HC, reading down section 16(2)(c)), note that the Supreme Court has stayed it and rely on</w:t>
      </w:r>
      <w:r>
        <w:rPr>
          <w:sz w:val="21"/>
        </w:rPr>
        <w:t xml:space="preserve"> </w:t>
      </w:r>
      <w:r>
        <w:rPr>
          <w:iCs/>
          <w:i/>
          <w:sz w:val="21"/>
        </w:rPr>
        <w:t xml:space="preserve">Bhandari Scrap Traders</w:t>
      </w:r>
      <w:r>
        <w:rPr>
          <w:sz w:val="21"/>
        </w:rPr>
        <w:t xml:space="preserve">. (7) Section 74 only where the buyer’s own fraud or collusion is shown with evidence and the material is disclosed: then use Module 6.</w:t>
      </w:r>
    </w:p>
    <w:bookmarkEnd w:id="22"/>
    <w:bookmarkStart w:id="23" w:name="X94142c41c7360641de635f3ac8de50a76704222"/>
    <w:p>
      <w:pPr>
        <w:pStyle w:val="Heading3"/>
        <w:keepNext/>
        <w:spacing w:before="240" w:after="80"/>
        <w:pBdr>
          <w:bottom w:val="single" w:sz="6" w:space="1" w:color="B4C6E7"/>
        </w:pBdr>
      </w:pPr>
      <w:r>
        <w:rPr>
          <w:b/>
          <w:color w:val="1F3864"/>
          <w:sz w:val="25"/>
        </w:rPr>
        <w:t xml:space="preserve">Module 3. Credit taken after the section 16(4) time limit</w:t>
      </w:r>
    </w:p>
    <w:p>
      <w:pPr>
        <w:pStyle w:val="FirstParagraph"/>
        <w:spacing w:before="0" w:after="120" w:line="269" w:lineRule="auto"/>
      </w:pPr>
      <w:r>
        <w:rPr>
          <w:bCs/>
          <w:b/>
        </w:rPr>
        <w:t xml:space="preserve">(a) Allegation</w:t>
      </w:r>
    </w:p>
    <w:p>
      <w:pPr>
        <w:pStyle w:val="BodyText"/>
        <w:spacing w:before="0" w:after="120" w:line="269" w:lineRule="auto"/>
        <w:jc w:val="both"/>
      </w:pPr>
      <w:r>
        <w:t xml:space="preserve">3.[n].1 The noticee availed credit of ₹[ ] on the invoices and debit notes listed in Table 3, pertaining to FY [YYYY-YY], in its GSTR-3B returns for [months], filed on [dates] (RUD-[ ]). Under section 16(4), credit on an invoice or debit note cannot be taken after the thirtieth day of November following the end of the financial year to which it pertains, or the date of furnishing the relevant annual return, whichever is earlier. For FY [YYYY-YY] that date is [30.11.YYYY] [the annual return was filed on [DD.MM.YYYY], which is earlier]. The returns in which the credit was taken were filed after that date. The credit of ₹[ ] therefore appears to have been availed in contravention of section 16(4).</w:t>
      </w:r>
    </w:p>
    <w:p>
      <w:pPr>
        <w:pStyle w:val="BodyText"/>
        <w:spacing w:before="0" w:after="120" w:line="269" w:lineRule="auto"/>
        <w:jc w:val="both"/>
      </w:pPr>
      <w:r>
        <w:t xml:space="preserve">3.[n].2</w:t>
      </w:r>
      <w:r>
        <w:t xml:space="preserve"> </w:t>
      </w:r>
      <w:r>
        <w:rPr>
          <w:bCs/>
          <w:b/>
        </w:rPr>
        <w:t xml:space="preserve">Sections 16(5) and 16(6).</w:t>
      </w:r>
      <w:r>
        <w:t xml:space="preserve"> </w:t>
      </w:r>
      <w:r>
        <w:t xml:space="preserve">Section 16(5), which allows credit for FY 2017-18 to 2020-21 in any return filed up to 30.11.2021, does not apply, because [the invoices pertain to FY [ ]] / [the return was filed on [ ], after 30.11.2021]. Section 16(6), which allows credit after revocation of a cancelled registration, does not apply, because [the registration was not cancelled during the period] / [the credit was already barred under section 16(4) on the date of cancellation, [DD.MM.YYYY]] / [the return was not filed within the period in section 16(6)].</w:t>
      </w:r>
    </w:p>
    <w:p>
      <w:pPr>
        <w:pStyle w:val="BodyText"/>
        <w:spacing w:before="0" w:after="120" w:line="269" w:lineRule="auto"/>
      </w:pPr>
      <w:r>
        <w:t xml:space="preserve">3.[n].3 Filing the return late, with late fee, does not extend the time limit in section 16(4).</w:t>
      </w:r>
    </w:p>
    <w:p>
      <w:pPr>
        <w:pStyle w:val="BodyText"/>
        <w:spacing w:before="0" w:after="120" w:line="269" w:lineRule="auto"/>
      </w:pPr>
      <w:r>
        <w:rPr>
          <w:iCs/>
          <w:i/>
        </w:rPr>
        <w:t xml:space="preserve">Table 3: Credit taken after the time limit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417"/>
        <w:gridCol w:w="1382"/>
        <w:gridCol w:w="1382"/>
        <w:gridCol w:w="1276"/>
        <w:gridCol w:w="1630"/>
        <w:gridCol w:w="1382"/>
        <w:gridCol w:w="1169"/>
      </w:tblGrid>
      <w:tr>
        <w:trPr>
          <w:tblHeader w:val="true"/>
          <w:tblHeader/>
        </w:trPr>
        <w:tc>
          <w:tcPr>
            <w:tcW w:type="dxa" w:w="1417"/>
            <w:shd w:val="clear" w:color="auto" w:fill="DCE6F1"/>
          </w:tcPr>
          <w:p>
            <w:pPr>
              <w:pStyle w:val="Compact"/>
              <w:spacing w:before="0" w:after="0" w:line="240" w:lineRule="auto"/>
              <w:jc w:val="left"/>
            </w:pPr>
            <w:r>
              <w:rPr>
                <w:b/>
                <w:color w:val="1F3864"/>
                <w:sz w:val="18"/>
              </w:rPr>
              <w:t xml:space="preserve">Invoice / debit note (No., date)</w:t>
            </w:r>
          </w:p>
        </w:tc>
        <w:tc>
          <w:tcPr>
            <w:tcW w:type="dxa" w:w="1382"/>
            <w:shd w:val="clear" w:color="auto" w:fill="DCE6F1"/>
          </w:tcPr>
          <w:p>
            <w:pPr>
              <w:pStyle w:val="Compact"/>
              <w:spacing w:before="0" w:after="0" w:line="240" w:lineRule="auto"/>
              <w:jc w:val="left"/>
            </w:pPr>
            <w:r>
              <w:rPr>
                <w:b/>
                <w:color w:val="1F3864"/>
                <w:sz w:val="18"/>
              </w:rPr>
              <w:t xml:space="preserve">Supplier GSTIN</w:t>
            </w:r>
          </w:p>
        </w:tc>
        <w:tc>
          <w:tcPr>
            <w:tcW w:type="dxa" w:w="1382"/>
            <w:shd w:val="clear" w:color="auto" w:fill="DCE6F1"/>
          </w:tcPr>
          <w:p>
            <w:pPr>
              <w:pStyle w:val="Compact"/>
              <w:spacing w:before="0" w:after="0" w:line="240" w:lineRule="auto"/>
              <w:jc w:val="left"/>
            </w:pPr>
            <w:r>
              <w:rPr>
                <w:b/>
                <w:color w:val="1F3864"/>
                <w:sz w:val="18"/>
              </w:rPr>
              <w:t xml:space="preserve">FY of document</w:t>
            </w:r>
          </w:p>
        </w:tc>
        <w:tc>
          <w:tcPr>
            <w:tcW w:type="dxa" w:w="1276"/>
            <w:shd w:val="clear" w:color="auto" w:fill="DCE6F1"/>
          </w:tcPr>
          <w:p>
            <w:pPr>
              <w:pStyle w:val="Compact"/>
              <w:spacing w:before="0" w:after="0" w:line="240" w:lineRule="auto"/>
              <w:jc w:val="left"/>
            </w:pPr>
            <w:r>
              <w:rPr>
                <w:b/>
                <w:color w:val="1F3864"/>
                <w:sz w:val="18"/>
              </w:rPr>
              <w:t xml:space="preserve">Last date under s.16(4)</w:t>
            </w:r>
          </w:p>
        </w:tc>
        <w:tc>
          <w:tcPr>
            <w:tcW w:type="dxa" w:w="1630"/>
            <w:shd w:val="clear" w:color="auto" w:fill="DCE6F1"/>
          </w:tcPr>
          <w:p>
            <w:pPr>
              <w:pStyle w:val="Compact"/>
              <w:spacing w:before="0" w:after="0" w:line="240" w:lineRule="auto"/>
              <w:jc w:val="left"/>
            </w:pPr>
            <w:r>
              <w:rPr>
                <w:b/>
                <w:color w:val="1F3864"/>
                <w:sz w:val="18"/>
              </w:rPr>
              <w:t xml:space="preserve">Return in which taken (period, filing date)</w:t>
            </w:r>
          </w:p>
        </w:tc>
        <w:tc>
          <w:tcPr>
            <w:tcW w:type="dxa" w:w="1382"/>
            <w:shd w:val="clear" w:color="auto" w:fill="DCE6F1"/>
          </w:tcPr>
          <w:p>
            <w:pPr>
              <w:pStyle w:val="Compact"/>
              <w:spacing w:before="0" w:after="0" w:line="240" w:lineRule="auto"/>
              <w:jc w:val="left"/>
            </w:pPr>
            <w:r>
              <w:rPr>
                <w:b/>
                <w:color w:val="1F3864"/>
                <w:sz w:val="18"/>
              </w:rPr>
              <w:t xml:space="preserve">s.16(5) / (6) applies?</w:t>
            </w:r>
          </w:p>
        </w:tc>
        <w:tc>
          <w:tcPr>
            <w:tcW w:type="dxa" w:w="1169"/>
            <w:shd w:val="clear" w:color="auto" w:fill="DCE6F1"/>
          </w:tcPr>
          <w:p>
            <w:pPr>
              <w:pStyle w:val="Compact"/>
              <w:spacing w:before="0" w:after="0" w:line="240" w:lineRule="auto"/>
              <w:jc w:val="left"/>
            </w:pPr>
            <w:r>
              <w:rPr>
                <w:b/>
                <w:color w:val="1F3864"/>
                <w:sz w:val="18"/>
              </w:rPr>
              <w:t xml:space="preserve">Credit (₹)</w:t>
            </w:r>
          </w:p>
        </w:tc>
      </w:tr>
      <w:tr>
        <w:tc>
          <w:tcPr>
            <w:tcW w:type="dxa" w:w="1417"/>
          </w:tcPr>
          <w:p>
            <w:pPr>
              <w:pStyle w:val="Compact"/>
              <w:spacing w:before="0" w:after="0" w:line="240" w:lineRule="auto"/>
              <w:jc w:val="left"/>
            </w:pPr>
            <w:r>
              <w:rPr>
                <w:sz w:val="18"/>
              </w:rPr>
              <w:t xml:space="preserve">[ ]</w:t>
            </w:r>
          </w:p>
        </w:tc>
        <w:tc>
          <w:tcPr>
            <w:tcW w:type="dxa" w:w="1382"/>
          </w:tcPr>
          <w:p>
            <w:pPr>
              <w:pStyle w:val="Compact"/>
              <w:spacing w:before="0" w:after="0" w:line="240" w:lineRule="auto"/>
              <w:jc w:val="left"/>
            </w:pPr>
            <w:r>
              <w:rPr>
                <w:sz w:val="18"/>
              </w:rPr>
              <w:t xml:space="preserve">[ ]</w:t>
            </w:r>
          </w:p>
        </w:tc>
        <w:tc>
          <w:tcPr>
            <w:tcW w:type="dxa" w:w="1382"/>
          </w:tcPr>
          <w:p>
            <w:pPr>
              <w:pStyle w:val="Compact"/>
              <w:spacing w:before="0" w:after="0" w:line="240" w:lineRule="auto"/>
              <w:jc w:val="left"/>
            </w:pPr>
            <w:r>
              <w:rPr>
                <w:sz w:val="18"/>
              </w:rPr>
              <w:t xml:space="preserve">[ ]</w:t>
            </w:r>
          </w:p>
        </w:tc>
        <w:tc>
          <w:tcPr>
            <w:tcW w:type="dxa" w:w="1276"/>
          </w:tcPr>
          <w:p>
            <w:pPr>
              <w:pStyle w:val="Compact"/>
              <w:spacing w:before="0" w:after="0" w:line="240" w:lineRule="auto"/>
              <w:jc w:val="left"/>
            </w:pPr>
            <w:r>
              <w:rPr>
                <w:sz w:val="18"/>
              </w:rPr>
              <w:t xml:space="preserve">[ ]</w:t>
            </w:r>
          </w:p>
        </w:tc>
        <w:tc>
          <w:tcPr>
            <w:tcW w:type="dxa" w:w="1630"/>
          </w:tcPr>
          <w:p>
            <w:pPr>
              <w:pStyle w:val="Compact"/>
              <w:spacing w:before="0" w:after="0" w:line="240" w:lineRule="auto"/>
              <w:jc w:val="left"/>
            </w:pPr>
            <w:r>
              <w:rPr>
                <w:sz w:val="18"/>
              </w:rPr>
              <w:t xml:space="preserve">[ ]</w:t>
            </w:r>
          </w:p>
        </w:tc>
        <w:tc>
          <w:tcPr>
            <w:tcW w:type="dxa" w:w="1382"/>
          </w:tcPr>
          <w:p>
            <w:pPr>
              <w:pStyle w:val="Compact"/>
              <w:spacing w:before="0" w:after="0" w:line="240" w:lineRule="auto"/>
              <w:jc w:val="left"/>
            </w:pPr>
            <w:r>
              <w:rPr>
                <w:sz w:val="18"/>
              </w:rPr>
              <w:t xml:space="preserve">No, because [ ]</w:t>
            </w:r>
          </w:p>
        </w:tc>
        <w:tc>
          <w:tcPr>
            <w:tcW w:type="dxa" w:w="1169"/>
          </w:tcPr>
          <w:p>
            <w:pPr>
              <w:pStyle w:val="Compact"/>
              <w:spacing w:before="0" w:after="0" w:line="240" w:lineRule="auto"/>
              <w:jc w:val="left"/>
            </w:pPr>
            <w:r>
              <w:rPr>
                <w:sz w:val="18"/>
              </w:rPr>
              <w:t xml:space="preserve">[ ]</w:t>
            </w:r>
          </w:p>
        </w:tc>
      </w:tr>
      <w:tr>
        <w:tc>
          <w:tcPr>
            <w:tcW w:type="dxa" w:w="1417"/>
            <w:shd w:val="clear" w:color="auto" w:fill="F2F2F2"/>
          </w:tcPr>
          <w:p>
            <w:pPr>
              <w:pStyle w:val="Compact"/>
              <w:spacing w:before="0" w:after="0" w:line="240" w:lineRule="auto"/>
              <w:jc w:val="left"/>
            </w:pPr>
            <w:r>
              <w:rPr>
                <w:sz w:val="18"/>
              </w:rPr>
              <w:t xml:space="preserve">Total</w:t>
            </w:r>
          </w:p>
        </w:tc>
        <w:tc>
          <w:tcPr>
            <w:tcW w:type="dxa" w:w="1382"/>
            <w:shd w:val="clear" w:color="auto" w:fill="F2F2F2"/>
          </w:tcPr>
          <w:p>
            <w:pPr>
              <w:pStyle w:val="Compact"/>
              <w:spacing w:before="0" w:after="0" w:line="240" w:lineRule="auto"/>
            </w:pPr>
          </w:p>
        </w:tc>
        <w:tc>
          <w:tcPr>
            <w:tcW w:type="dxa" w:w="1382"/>
            <w:shd w:val="clear" w:color="auto" w:fill="F2F2F2"/>
          </w:tcPr>
          <w:p>
            <w:pPr>
              <w:pStyle w:val="Compact"/>
              <w:spacing w:before="0" w:after="0" w:line="240" w:lineRule="auto"/>
            </w:pPr>
          </w:p>
        </w:tc>
        <w:tc>
          <w:tcPr>
            <w:tcW w:type="dxa" w:w="1276"/>
            <w:shd w:val="clear" w:color="auto" w:fill="F2F2F2"/>
          </w:tcPr>
          <w:p>
            <w:pPr>
              <w:pStyle w:val="Compact"/>
              <w:spacing w:before="0" w:after="0" w:line="240" w:lineRule="auto"/>
            </w:pPr>
          </w:p>
        </w:tc>
        <w:tc>
          <w:tcPr>
            <w:tcW w:type="dxa" w:w="1630"/>
            <w:shd w:val="clear" w:color="auto" w:fill="F2F2F2"/>
          </w:tcPr>
          <w:p>
            <w:pPr>
              <w:pStyle w:val="Compact"/>
              <w:spacing w:before="0" w:after="0" w:line="240" w:lineRule="auto"/>
            </w:pPr>
          </w:p>
        </w:tc>
        <w:tc>
          <w:tcPr>
            <w:tcW w:type="dxa" w:w="1382"/>
            <w:shd w:val="clear" w:color="auto" w:fill="F2F2F2"/>
          </w:tcPr>
          <w:p>
            <w:pPr>
              <w:pStyle w:val="Compact"/>
              <w:spacing w:before="0" w:after="0" w:line="240" w:lineRule="auto"/>
            </w:pPr>
          </w:p>
        </w:tc>
        <w:tc>
          <w:tcPr>
            <w:tcW w:type="dxa" w:w="1169"/>
            <w:shd w:val="clear" w:color="auto" w:fill="F2F2F2"/>
          </w:tcPr>
          <w:p>
            <w:pPr>
              <w:pStyle w:val="Compact"/>
              <w:spacing w:before="0" w:after="0" w:line="240" w:lineRule="auto"/>
              <w:jc w:val="left"/>
            </w:pPr>
            <w:r>
              <w:rPr>
                <w:sz w:val="18"/>
              </w:rPr>
              <w:t xml:space="preserve">[ ]</w:t>
            </w:r>
          </w:p>
        </w:tc>
      </w:tr>
    </w:tbl>
    <w:p>
      <w:pPr>
        <w:pStyle w:val="BodyText"/>
        <w:spacing w:before="0" w:after="120" w:line="269" w:lineRule="auto"/>
      </w:pPr>
      <w:r>
        <w:rPr>
          <w:bCs/>
          <w:b/>
        </w:rPr>
        <w:t xml:space="preserve">(b) Provisions:</w:t>
      </w:r>
      <w:r>
        <w:t xml:space="preserve"> </w:t>
      </w:r>
      <w:r>
        <w:t xml:space="preserve">section 16(4), (5) and (6); section [73] [74A]; section 50(3).</w:t>
      </w:r>
    </w:p>
    <w:p>
      <w:pPr>
        <w:pStyle w:val="BodyText"/>
        <w:spacing w:before="0" w:after="120" w:line="269" w:lineRule="auto"/>
        <w:jc w:val="both"/>
      </w:pPr>
      <w:r>
        <w:rPr>
          <w:bCs/>
          <w:b/>
        </w:rPr>
        <w:t xml:space="preserve">(c) Evidence:</w:t>
      </w:r>
      <w:r>
        <w:t xml:space="preserve"> </w:t>
      </w:r>
      <w:r>
        <w:t xml:space="preserve">GSTR-3B filing dates (portal), GSTR-2B / 2A showing the invoice dates, GSTR-9 filing date, registration history.</w:t>
      </w:r>
    </w:p>
    <w:p>
      <w:pPr>
        <w:pStyle w:val="BlockText"/>
        <w:shd w:val="clear" w:color="auto" w:fill="E7E6E6"/>
      </w:pPr>
      <w:r>
        <w:rPr>
          <w:bCs/>
          <w:b/>
          <w:sz w:val="21"/>
        </w:rPr>
        <w:t xml:space="preserve">(e) Verify before issuing.</w:t>
      </w:r>
      <w:r>
        <w:rPr>
          <w:sz w:val="21"/>
        </w:rPr>
        <w:t xml:space="preserve"> </w:t>
      </w:r>
      <w:r>
        <w:rPr>
          <w:sz w:val="21"/>
        </w:rPr>
        <w:t xml:space="preserve">(1) The return filing date, not the invoice date, decides. Check each invoice. (2) Record why sections 16(5) and 16(6) do not apply; drop any amount they cover (Circular No. 237/31/2024-GST deals with orders already passed). (3) The</w:t>
      </w:r>
      <w:r>
        <w:rPr>
          <w:sz w:val="21"/>
        </w:rPr>
        <w:t xml:space="preserve"> </w:t>
      </w:r>
      <w:r>
        <w:rPr>
          <w:sz w:val="21"/>
        </w:rPr>
        <w:t xml:space="preserve">“</w:t>
      </w:r>
      <w:r>
        <w:rPr>
          <w:sz w:val="21"/>
        </w:rPr>
        <w:t xml:space="preserve">30 November</w:t>
      </w:r>
      <w:r>
        <w:rPr>
          <w:sz w:val="21"/>
        </w:rPr>
        <w:t xml:space="preserve">”</w:t>
      </w:r>
      <w:r>
        <w:rPr>
          <w:sz w:val="21"/>
        </w:rPr>
        <w:t xml:space="preserve"> </w:t>
      </w:r>
      <w:r>
        <w:rPr>
          <w:sz w:val="21"/>
        </w:rPr>
        <w:t xml:space="preserve">limit applies from 01.10.2022 (earlier, the due date of the September return); use the text in force for the year. (4) Use the earlier of 30 November and the date the annual return was actually filed. (5) This is a disclosed claim in the returns: section 74 is not invoked. (6) Section 50(3) interest only for the period the credit was utilised.</w:t>
      </w:r>
    </w:p>
    <w:bookmarkEnd w:id="23"/>
    <w:bookmarkStart w:id="24" w:name="X26a2048dd202368fbf9fe12e680e62c21adad4c"/>
    <w:p>
      <w:pPr>
        <w:pStyle w:val="Heading3"/>
        <w:keepNext/>
        <w:spacing w:before="240" w:after="80"/>
        <w:pBdr>
          <w:bottom w:val="single" w:sz="6" w:space="1" w:color="B4C6E7"/>
        </w:pBdr>
      </w:pPr>
      <w:r>
        <w:rPr>
          <w:b/>
          <w:color w:val="1F3864"/>
          <w:sz w:val="25"/>
        </w:rPr>
        <w:t xml:space="preserve">Module 4. Outward tax short paid: GSTR-1 against GSTR-3B</w:t>
      </w:r>
    </w:p>
    <w:p>
      <w:pPr>
        <w:pStyle w:val="FirstParagraph"/>
        <w:spacing w:before="0" w:after="120" w:line="269" w:lineRule="auto"/>
      </w:pPr>
      <w:r>
        <w:rPr>
          <w:bCs/>
          <w:b/>
        </w:rPr>
        <w:t xml:space="preserve">(a) Allegation</w:t>
      </w:r>
    </w:p>
    <w:p>
      <w:pPr>
        <w:pStyle w:val="BodyText"/>
        <w:spacing w:before="0" w:after="120" w:line="269" w:lineRule="auto"/>
        <w:jc w:val="both"/>
      </w:pPr>
      <w:r>
        <w:t xml:space="preserve">3.[n].1 For [months], the noticee declared outward supplies with tax of ₹[ ] in GSTR-1 [and GSTR-1A] (RUD-[ ]) but declared and paid tax of only ₹[ ] in GSTR-3B (RUD-[ ]). The short payment of ₹[ ] (IGST ₹[ ], CGST ₹[ ], SGST ₹[ ], Cess ₹[ ]) is shown month by month in Table 4, after allowing for supplies of one month declared in GSTR-3B of a later month, amendments, credit notes and advances adjusted.</w:t>
      </w:r>
    </w:p>
    <w:p>
      <w:pPr>
        <w:pStyle w:val="BodyText"/>
        <w:spacing w:before="0" w:after="120" w:line="269" w:lineRule="auto"/>
        <w:jc w:val="both"/>
      </w:pPr>
      <w:r>
        <w:t xml:space="preserve">3.[n].2 Under section 75(12) and its Explanation, tax payable on outward supplies furnished under section 37 but not included in the return under section 39 is self-assessed tax. [The noticee was informed of the difference by FORM GST DRC-01B dated [ ] (rule 88C) and [did not pay or explain] / [explained that [ ], which is not accepted because [ ]].] The noticee disputes [the amount / [specific point]]; the amount is therefore proposed for determination in this notice under section [73(1)] [74A(1)].</w:t>
      </w:r>
    </w:p>
    <w:p>
      <w:pPr>
        <w:pStyle w:val="BodyText"/>
        <w:spacing w:before="0" w:after="120" w:line="269" w:lineRule="auto"/>
        <w:jc w:val="both"/>
      </w:pPr>
      <w:r>
        <w:t xml:space="preserve">3.[n].3 Because this is self-assessed tax not paid within thirty days of its due date, the penalty under section [73(9)] [74A(5)(i)] remains payable even if the tax and interest are paid within the period in section [73(8)] [74A(8)(ii)] (section [73(11)] [74A(11)]).</w:t>
      </w:r>
    </w:p>
    <w:p>
      <w:pPr>
        <w:pStyle w:val="BodyText"/>
        <w:spacing w:before="0" w:after="120" w:line="269" w:lineRule="auto"/>
      </w:pPr>
      <w:r>
        <w:rPr>
          <w:iCs/>
          <w:i/>
        </w:rPr>
        <w:t xml:space="preserve">Table 4: Tax in GSTR-1 against GSTR-3B</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75"/>
        <w:gridCol w:w="1293"/>
        <w:gridCol w:w="1410"/>
        <w:gridCol w:w="1410"/>
        <w:gridCol w:w="1763"/>
        <w:gridCol w:w="1175"/>
        <w:gridCol w:w="1410"/>
      </w:tblGrid>
      <w:tr>
        <w:trPr>
          <w:tblHeader w:val="true"/>
          <w:tblHeader/>
        </w:trPr>
        <w:tc>
          <w:tcPr>
            <w:tcW w:type="dxa" w:w="1175"/>
            <w:shd w:val="clear" w:color="auto" w:fill="DCE6F1"/>
          </w:tcPr>
          <w:p>
            <w:pPr>
              <w:pStyle w:val="Compact"/>
              <w:spacing w:before="0" w:after="0" w:line="240" w:lineRule="auto"/>
              <w:jc w:val="left"/>
            </w:pPr>
            <w:r>
              <w:rPr>
                <w:b/>
                <w:color w:val="1F3864"/>
                <w:sz w:val="18"/>
              </w:rPr>
              <w:t xml:space="preserve">Month</w:t>
            </w:r>
          </w:p>
        </w:tc>
        <w:tc>
          <w:tcPr>
            <w:tcW w:type="dxa" w:w="1293"/>
            <w:shd w:val="clear" w:color="auto" w:fill="DCE6F1"/>
          </w:tcPr>
          <w:p>
            <w:pPr>
              <w:pStyle w:val="Compact"/>
              <w:spacing w:before="0" w:after="0" w:line="240" w:lineRule="auto"/>
              <w:jc w:val="left"/>
            </w:pPr>
            <w:r>
              <w:rPr>
                <w:b/>
                <w:color w:val="1F3864"/>
                <w:sz w:val="18"/>
              </w:rPr>
              <w:t xml:space="preserve">Tax in GSTR-1 / 1A (₹)</w:t>
            </w:r>
          </w:p>
        </w:tc>
        <w:tc>
          <w:tcPr>
            <w:tcW w:type="dxa" w:w="1410"/>
            <w:shd w:val="clear" w:color="auto" w:fill="DCE6F1"/>
          </w:tcPr>
          <w:p>
            <w:pPr>
              <w:pStyle w:val="Compact"/>
              <w:spacing w:before="0" w:after="0" w:line="240" w:lineRule="auto"/>
              <w:jc w:val="left"/>
            </w:pPr>
            <w:r>
              <w:rPr>
                <w:b/>
                <w:color w:val="1F3864"/>
                <w:sz w:val="18"/>
              </w:rPr>
              <w:t xml:space="preserve">Tax in GSTR-3B 3.1(a) (₹)</w:t>
            </w:r>
          </w:p>
        </w:tc>
        <w:tc>
          <w:tcPr>
            <w:tcW w:type="dxa" w:w="1410"/>
            <w:shd w:val="clear" w:color="auto" w:fill="DCE6F1"/>
          </w:tcPr>
          <w:p>
            <w:pPr>
              <w:pStyle w:val="Compact"/>
              <w:spacing w:before="0" w:after="0" w:line="240" w:lineRule="auto"/>
              <w:jc w:val="left"/>
            </w:pPr>
            <w:r>
              <w:rPr>
                <w:b/>
                <w:color w:val="1F3864"/>
                <w:sz w:val="18"/>
              </w:rPr>
              <w:t xml:space="preserve">Shown in a later GSTR-3B (₹)</w:t>
            </w:r>
          </w:p>
        </w:tc>
        <w:tc>
          <w:tcPr>
            <w:tcW w:type="dxa" w:w="1763"/>
            <w:shd w:val="clear" w:color="auto" w:fill="DCE6F1"/>
          </w:tcPr>
          <w:p>
            <w:pPr>
              <w:pStyle w:val="Compact"/>
              <w:spacing w:before="0" w:after="0" w:line="240" w:lineRule="auto"/>
              <w:jc w:val="left"/>
            </w:pPr>
            <w:r>
              <w:rPr>
                <w:b/>
                <w:color w:val="1F3864"/>
                <w:sz w:val="18"/>
              </w:rPr>
              <w:t xml:space="preserve">Credit notes / amendments (₹)</w:t>
            </w:r>
          </w:p>
        </w:tc>
        <w:tc>
          <w:tcPr>
            <w:tcW w:type="dxa" w:w="1175"/>
            <w:shd w:val="clear" w:color="auto" w:fill="DCE6F1"/>
          </w:tcPr>
          <w:p>
            <w:pPr>
              <w:pStyle w:val="Compact"/>
              <w:spacing w:before="0" w:after="0" w:line="240" w:lineRule="auto"/>
              <w:jc w:val="left"/>
            </w:pPr>
            <w:r>
              <w:rPr>
                <w:b/>
                <w:color w:val="1F3864"/>
                <w:sz w:val="18"/>
              </w:rPr>
              <w:t xml:space="preserve">Short paid (₹)</w:t>
            </w:r>
          </w:p>
        </w:tc>
        <w:tc>
          <w:tcPr>
            <w:tcW w:type="dxa" w:w="1410"/>
            <w:shd w:val="clear" w:color="auto" w:fill="DCE6F1"/>
          </w:tcPr>
          <w:p>
            <w:pPr>
              <w:pStyle w:val="Compact"/>
              <w:spacing w:before="0" w:after="0" w:line="240" w:lineRule="auto"/>
              <w:jc w:val="left"/>
            </w:pPr>
            <w:r>
              <w:rPr>
                <w:b/>
                <w:color w:val="1F3864"/>
                <w:sz w:val="18"/>
              </w:rPr>
              <w:t xml:space="preserve">Due date of payment</w:t>
            </w:r>
          </w:p>
        </w:tc>
      </w:tr>
      <w:tr>
        <w:tc>
          <w:tcPr>
            <w:tcW w:type="dxa" w:w="1175"/>
          </w:tcPr>
          <w:p>
            <w:pPr>
              <w:pStyle w:val="Compact"/>
              <w:spacing w:before="0" w:after="0" w:line="240" w:lineRule="auto"/>
              <w:jc w:val="left"/>
            </w:pPr>
            <w:r>
              <w:rPr>
                <w:sz w:val="18"/>
              </w:rPr>
              <w:t xml:space="preserve">[Mon YYYY]</w:t>
            </w:r>
          </w:p>
        </w:tc>
        <w:tc>
          <w:tcPr>
            <w:tcW w:type="dxa" w:w="1293"/>
          </w:tcPr>
          <w:p>
            <w:pPr>
              <w:pStyle w:val="Compact"/>
              <w:spacing w:before="0" w:after="0" w:line="240" w:lineRule="auto"/>
              <w:jc w:val="left"/>
            </w:pPr>
            <w:r>
              <w:rPr>
                <w:sz w:val="18"/>
              </w:rPr>
              <w:t xml:space="preserve">[ ]</w:t>
            </w:r>
          </w:p>
        </w:tc>
        <w:tc>
          <w:tcPr>
            <w:tcW w:type="dxa" w:w="1410"/>
          </w:tcPr>
          <w:p>
            <w:pPr>
              <w:pStyle w:val="Compact"/>
              <w:spacing w:before="0" w:after="0" w:line="240" w:lineRule="auto"/>
              <w:jc w:val="left"/>
            </w:pPr>
            <w:r>
              <w:rPr>
                <w:sz w:val="18"/>
              </w:rPr>
              <w:t xml:space="preserve">[ ]</w:t>
            </w:r>
          </w:p>
        </w:tc>
        <w:tc>
          <w:tcPr>
            <w:tcW w:type="dxa" w:w="1410"/>
          </w:tcPr>
          <w:p>
            <w:pPr>
              <w:pStyle w:val="Compact"/>
              <w:spacing w:before="0" w:after="0" w:line="240" w:lineRule="auto"/>
              <w:jc w:val="left"/>
            </w:pPr>
            <w:r>
              <w:rPr>
                <w:sz w:val="18"/>
              </w:rPr>
              <w:t xml:space="preserve">[ ]</w:t>
            </w:r>
          </w:p>
        </w:tc>
        <w:tc>
          <w:tcPr>
            <w:tcW w:type="dxa" w:w="1763"/>
          </w:tcPr>
          <w:p>
            <w:pPr>
              <w:pStyle w:val="Compact"/>
              <w:spacing w:before="0" w:after="0" w:line="240" w:lineRule="auto"/>
              <w:jc w:val="left"/>
            </w:pPr>
            <w:r>
              <w:rPr>
                <w:sz w:val="18"/>
              </w:rPr>
              <w:t xml:space="preserve">[ ]</w:t>
            </w:r>
          </w:p>
        </w:tc>
        <w:tc>
          <w:tcPr>
            <w:tcW w:type="dxa" w:w="1175"/>
          </w:tcPr>
          <w:p>
            <w:pPr>
              <w:pStyle w:val="Compact"/>
              <w:spacing w:before="0" w:after="0" w:line="240" w:lineRule="auto"/>
              <w:jc w:val="left"/>
            </w:pPr>
            <w:r>
              <w:rPr>
                <w:sz w:val="18"/>
              </w:rPr>
              <w:t xml:space="preserve">[ ]</w:t>
            </w:r>
          </w:p>
        </w:tc>
        <w:tc>
          <w:tcPr>
            <w:tcW w:type="dxa" w:w="1410"/>
          </w:tcPr>
          <w:p>
            <w:pPr>
              <w:pStyle w:val="Compact"/>
              <w:spacing w:before="0" w:after="0" w:line="240" w:lineRule="auto"/>
              <w:jc w:val="left"/>
            </w:pPr>
            <w:r>
              <w:rPr>
                <w:sz w:val="18"/>
              </w:rPr>
              <w:t xml:space="preserve">[ ]</w:t>
            </w:r>
          </w:p>
        </w:tc>
      </w:tr>
      <w:tr>
        <w:tc>
          <w:tcPr>
            <w:tcW w:type="dxa" w:w="1175"/>
            <w:shd w:val="clear" w:color="auto" w:fill="F2F2F2"/>
          </w:tcPr>
          <w:p>
            <w:pPr>
              <w:pStyle w:val="Compact"/>
              <w:spacing w:before="0" w:after="0" w:line="240" w:lineRule="auto"/>
              <w:jc w:val="left"/>
            </w:pPr>
            <w:r>
              <w:rPr>
                <w:sz w:val="18"/>
              </w:rPr>
              <w:t xml:space="preserve">Total</w:t>
            </w:r>
          </w:p>
        </w:tc>
        <w:tc>
          <w:tcPr>
            <w:tcW w:type="dxa" w:w="1293"/>
            <w:shd w:val="clear" w:color="auto" w:fill="F2F2F2"/>
          </w:tcPr>
          <w:p>
            <w:pPr>
              <w:pStyle w:val="Compact"/>
              <w:spacing w:before="0" w:after="0" w:line="240" w:lineRule="auto"/>
              <w:jc w:val="left"/>
            </w:pPr>
            <w:r>
              <w:rPr>
                <w:sz w:val="18"/>
              </w:rPr>
              <w:t xml:space="preserve">[ ]</w:t>
            </w:r>
          </w:p>
        </w:tc>
        <w:tc>
          <w:tcPr>
            <w:tcW w:type="dxa" w:w="1410"/>
            <w:shd w:val="clear" w:color="auto" w:fill="F2F2F2"/>
          </w:tcPr>
          <w:p>
            <w:pPr>
              <w:pStyle w:val="Compact"/>
              <w:spacing w:before="0" w:after="0" w:line="240" w:lineRule="auto"/>
              <w:jc w:val="left"/>
            </w:pPr>
            <w:r>
              <w:rPr>
                <w:sz w:val="18"/>
              </w:rPr>
              <w:t xml:space="preserve">[ ]</w:t>
            </w:r>
          </w:p>
        </w:tc>
        <w:tc>
          <w:tcPr>
            <w:tcW w:type="dxa" w:w="1410"/>
            <w:shd w:val="clear" w:color="auto" w:fill="F2F2F2"/>
          </w:tcPr>
          <w:p>
            <w:pPr>
              <w:pStyle w:val="Compact"/>
              <w:spacing w:before="0" w:after="0" w:line="240" w:lineRule="auto"/>
              <w:jc w:val="left"/>
            </w:pPr>
            <w:r>
              <w:rPr>
                <w:sz w:val="18"/>
              </w:rPr>
              <w:t xml:space="preserve">[ ]</w:t>
            </w:r>
          </w:p>
        </w:tc>
        <w:tc>
          <w:tcPr>
            <w:tcW w:type="dxa" w:w="1763"/>
            <w:shd w:val="clear" w:color="auto" w:fill="F2F2F2"/>
          </w:tcPr>
          <w:p>
            <w:pPr>
              <w:pStyle w:val="Compact"/>
              <w:spacing w:before="0" w:after="0" w:line="240" w:lineRule="auto"/>
              <w:jc w:val="left"/>
            </w:pPr>
            <w:r>
              <w:rPr>
                <w:sz w:val="18"/>
              </w:rPr>
              <w:t xml:space="preserve">[ ]</w:t>
            </w:r>
          </w:p>
        </w:tc>
        <w:tc>
          <w:tcPr>
            <w:tcW w:type="dxa" w:w="1175"/>
            <w:shd w:val="clear" w:color="auto" w:fill="F2F2F2"/>
          </w:tcPr>
          <w:p>
            <w:pPr>
              <w:pStyle w:val="Compact"/>
              <w:spacing w:before="0" w:after="0" w:line="240" w:lineRule="auto"/>
              <w:jc w:val="left"/>
            </w:pPr>
            <w:r>
              <w:rPr>
                <w:sz w:val="18"/>
              </w:rPr>
              <w:t xml:space="preserve">[ ]</w:t>
            </w:r>
          </w:p>
        </w:tc>
        <w:tc>
          <w:tcPr>
            <w:tcW w:type="dxa" w:w="1410"/>
            <w:shd w:val="clear" w:color="auto" w:fill="F2F2F2"/>
          </w:tcPr>
          <w:p>
            <w:pPr>
              <w:pStyle w:val="Compact"/>
              <w:spacing w:before="0" w:after="0" w:line="240" w:lineRule="auto"/>
            </w:pPr>
          </w:p>
        </w:tc>
      </w:tr>
    </w:tbl>
    <w:p>
      <w:pPr>
        <w:pStyle w:val="BodyText"/>
        <w:spacing w:before="0" w:after="120" w:line="269" w:lineRule="auto"/>
        <w:jc w:val="both"/>
      </w:pPr>
      <w:r>
        <w:rPr>
          <w:bCs/>
          <w:b/>
        </w:rPr>
        <w:t xml:space="preserve">(b) Provisions:</w:t>
      </w:r>
      <w:r>
        <w:t xml:space="preserve"> </w:t>
      </w:r>
      <w:r>
        <w:t xml:space="preserve">sections 37, 39 and 75(12) with its Explanation; rule 88C; section [73] [74A]; section 50(1) and rule 88B(2) (interest on the whole short payment from each due date: the cash-portion proviso does not apply to tax never returned).</w:t>
      </w:r>
    </w:p>
    <w:p>
      <w:pPr>
        <w:pStyle w:val="BlockText"/>
        <w:shd w:val="clear" w:color="auto" w:fill="E7E6E6"/>
      </w:pPr>
      <w:r>
        <w:rPr>
          <w:bCs/>
          <w:b/>
          <w:sz w:val="21"/>
        </w:rPr>
        <w:t xml:space="preserve">(e) Verify before issuing.</w:t>
      </w:r>
      <w:r>
        <w:rPr>
          <w:sz w:val="21"/>
        </w:rPr>
        <w:t xml:space="preserve"> </w:t>
      </w:r>
      <w:r>
        <w:rPr>
          <w:sz w:val="21"/>
        </w:rPr>
        <w:t xml:space="preserve">(1) If the noticee</w:t>
      </w:r>
      <w:r>
        <w:rPr>
          <w:sz w:val="21"/>
        </w:rPr>
        <w:t xml:space="preserve"> </w:t>
      </w:r>
      <w:r>
        <w:rPr>
          <w:bCs/>
          <w:b/>
          <w:sz w:val="21"/>
        </w:rPr>
        <w:t xml:space="preserve">does not dispute</w:t>
      </w:r>
      <w:r>
        <w:rPr>
          <w:sz w:val="21"/>
        </w:rPr>
        <w:t xml:space="preserve"> </w:t>
      </w:r>
      <w:r>
        <w:rPr>
          <w:sz w:val="21"/>
        </w:rPr>
        <w:t xml:space="preserve">the amount, no notice is needed: intimate it in FORM GST DRC-01D under rule 142B and recover under section 79 (section 75(12)). Use this notice where the amount is disputed or needs determination. (2) Reconcile with later months, GSTR-1A, GSTR-9 Tables 4, 9 and 10, credit notes and advances; explain any difference from DRC-01B or ASMT-10. (3) State the section 73(11) / 74A(11) caveat in A1 para 10.1; telling the noticee that payment within the window ends all penalty would be a misstatement of the law. (4) A GSTR-1 / GSTR-3B mismatch alone does not justify section 74.</w:t>
      </w:r>
    </w:p>
    <w:bookmarkEnd w:id="24"/>
    <w:bookmarkStart w:id="25" w:name="Xf1151f0373291b9919aaeafb2f54b7f3c9ebca9"/>
    <w:p>
      <w:pPr>
        <w:pStyle w:val="Heading3"/>
        <w:keepNext/>
        <w:spacing w:before="240" w:after="80"/>
        <w:pBdr>
          <w:bottom w:val="single" w:sz="6" w:space="1" w:color="B4C6E7"/>
        </w:pBdr>
      </w:pPr>
      <w:r>
        <w:rPr>
          <w:b/>
          <w:color w:val="1F3864"/>
          <w:sz w:val="25"/>
        </w:rPr>
        <w:t xml:space="preserve">Module 5. Tax not paid under reverse charge</w:t>
      </w:r>
    </w:p>
    <w:p>
      <w:pPr>
        <w:pStyle w:val="FirstParagraph"/>
        <w:spacing w:before="0" w:after="120" w:line="269" w:lineRule="auto"/>
      </w:pPr>
      <w:r>
        <w:rPr>
          <w:bCs/>
          <w:b/>
        </w:rPr>
        <w:t xml:space="preserve">(a) Allegation</w:t>
      </w:r>
    </w:p>
    <w:p>
      <w:pPr>
        <w:pStyle w:val="BodyText"/>
        <w:spacing w:before="0" w:after="120" w:line="269" w:lineRule="auto"/>
        <w:jc w:val="both"/>
      </w:pPr>
      <w:r>
        <w:t xml:space="preserve">3.[n].1 During [period], the noticee received [description of the service or goods, e.g. </w:t>
      </w:r>
      <w:r>
        <w:t xml:space="preserve">“</w:t>
      </w:r>
      <w:r>
        <w:t xml:space="preserve">goods transport agency services</w:t>
      </w:r>
      <w:r>
        <w:t xml:space="preserve">”</w:t>
      </w:r>
      <w:r>
        <w:t xml:space="preserve">,</w:t>
      </w:r>
      <w:r>
        <w:t xml:space="preserve"> </w:t>
      </w:r>
      <w:r>
        <w:t xml:space="preserve">“</w:t>
      </w:r>
      <w:r>
        <w:t xml:space="preserve">legal services from advocates</w:t>
      </w:r>
      <w:r>
        <w:t xml:space="preserve">”</w:t>
      </w:r>
      <w:r>
        <w:t xml:space="preserve">,</w:t>
      </w:r>
      <w:r>
        <w:t xml:space="preserve"> </w:t>
      </w:r>
      <w:r>
        <w:t xml:space="preserve">“</w:t>
      </w:r>
      <w:r>
        <w:t xml:space="preserve">services from the [Government department] for [fee]</w:t>
      </w:r>
      <w:r>
        <w:t xml:space="preserve">”</w:t>
      </w:r>
      <w:r>
        <w:t xml:space="preserve">] from [supplier / category] (RUD-[ ]) for consideration of ₹[ ]. Under section 9(3) read with entry [No.] of Notification No. [13/2017-Central Tax (Rate)] / [4/2017-Central Tax (Rate)] dated 28.06.2017, as amended, the tax on this supply is payable by the recipient. The noticee is [a body corporate / a registered person / [the category named in the entry]], falling within the entry. [Tax at [ ]% under entry [ ] of Notification No. [11/2017-Central Tax (Rate)] / [1/2017-Central Tax (Rate)].]</w:t>
      </w:r>
    </w:p>
    <w:p>
      <w:pPr>
        <w:pStyle w:val="BodyText"/>
        <w:spacing w:before="0" w:after="120" w:line="269" w:lineRule="auto"/>
        <w:jc w:val="both"/>
      </w:pPr>
      <w:r>
        <w:t xml:space="preserve">3.[n].2 The noticee did not declare or pay this tax in Table 3.1(d) of its GSTR-3B (RUD-[ ]). Tax payable under reverse charge is not</w:t>
      </w:r>
      <w:r>
        <w:t xml:space="preserve"> </w:t>
      </w:r>
      <w:r>
        <w:t xml:space="preserve">“</w:t>
      </w:r>
      <w:r>
        <w:t xml:space="preserve">output tax</w:t>
      </w:r>
      <w:r>
        <w:t xml:space="preserve">”</w:t>
      </w:r>
      <w:r>
        <w:t xml:space="preserve"> </w:t>
      </w:r>
      <w:r>
        <w:t xml:space="preserve">(section 2(82)) and is paid in cash. [The exemption in entry [ ] of Notification No. [12/2017-Central Tax (Rate)] does not apply because [ ].]</w:t>
      </w:r>
    </w:p>
    <w:p>
      <w:pPr>
        <w:pStyle w:val="BodyText"/>
        <w:spacing w:before="0" w:after="120" w:line="269" w:lineRule="auto"/>
        <w:jc w:val="both"/>
      </w:pPr>
      <w:r>
        <w:t xml:space="preserve">3.[n].3 Tax of ₹[ ] (Table 5) therefore appears to be payable by the noticee under section 9(3) [9(4)]. Credit of this tax, when paid, may be available to the noticee subject to section 16; that does not remove the liability to pay the tax with interest.</w:t>
      </w:r>
    </w:p>
    <w:p>
      <w:pPr>
        <w:pStyle w:val="BodyText"/>
        <w:spacing w:before="0" w:after="120" w:line="269" w:lineRule="auto"/>
      </w:pPr>
      <w:r>
        <w:rPr>
          <w:iCs/>
          <w:i/>
        </w:rPr>
        <w:t xml:space="preserve">Table 5: Reverse charge tax not paid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121"/>
        <w:gridCol w:w="1457"/>
        <w:gridCol w:w="1233"/>
        <w:gridCol w:w="1121"/>
        <w:gridCol w:w="1121"/>
        <w:gridCol w:w="1121"/>
        <w:gridCol w:w="1345"/>
        <w:gridCol w:w="1121"/>
      </w:tblGrid>
      <w:tr>
        <w:trPr>
          <w:tblHeader w:val="true"/>
          <w:tblHeader/>
        </w:trPr>
        <w:tc>
          <w:tcPr>
            <w:tcW w:type="dxa" w:w="1121"/>
            <w:shd w:val="clear" w:color="auto" w:fill="DCE6F1"/>
          </w:tcPr>
          <w:p>
            <w:pPr>
              <w:pStyle w:val="Compact"/>
              <w:spacing w:before="0" w:after="0" w:line="240" w:lineRule="auto"/>
              <w:jc w:val="left"/>
            </w:pPr>
            <w:r>
              <w:rPr>
                <w:b/>
                <w:color w:val="1F3864"/>
                <w:sz w:val="18"/>
              </w:rPr>
              <w:t xml:space="preserve">Month</w:t>
            </w:r>
          </w:p>
        </w:tc>
        <w:tc>
          <w:tcPr>
            <w:tcW w:type="dxa" w:w="1457"/>
            <w:shd w:val="clear" w:color="auto" w:fill="DCE6F1"/>
          </w:tcPr>
          <w:p>
            <w:pPr>
              <w:pStyle w:val="Compact"/>
              <w:spacing w:before="0" w:after="0" w:line="240" w:lineRule="auto"/>
              <w:jc w:val="left"/>
            </w:pPr>
            <w:r>
              <w:rPr>
                <w:b/>
                <w:color w:val="1F3864"/>
                <w:sz w:val="18"/>
              </w:rPr>
              <w:t xml:space="preserve">Supplier / payee</w:t>
            </w:r>
          </w:p>
        </w:tc>
        <w:tc>
          <w:tcPr>
            <w:tcW w:type="dxa" w:w="1233"/>
            <w:shd w:val="clear" w:color="auto" w:fill="DCE6F1"/>
          </w:tcPr>
          <w:p>
            <w:pPr>
              <w:pStyle w:val="Compact"/>
              <w:spacing w:before="0" w:after="0" w:line="240" w:lineRule="auto"/>
              <w:jc w:val="left"/>
            </w:pPr>
            <w:r>
              <w:rPr>
                <w:b/>
                <w:color w:val="1F3864"/>
                <w:sz w:val="18"/>
              </w:rPr>
              <w:t xml:space="preserve">Nature of supply and RCM entry</w:t>
            </w:r>
          </w:p>
        </w:tc>
        <w:tc>
          <w:tcPr>
            <w:tcW w:type="dxa" w:w="1121"/>
            <w:shd w:val="clear" w:color="auto" w:fill="DCE6F1"/>
          </w:tcPr>
          <w:p>
            <w:pPr>
              <w:pStyle w:val="Compact"/>
              <w:spacing w:before="0" w:after="0" w:line="240" w:lineRule="auto"/>
              <w:jc w:val="left"/>
            </w:pPr>
            <w:r>
              <w:rPr>
                <w:b/>
                <w:color w:val="1F3864"/>
                <w:sz w:val="18"/>
              </w:rPr>
              <w:t xml:space="preserve">Value (₹)</w:t>
            </w:r>
          </w:p>
        </w:tc>
        <w:tc>
          <w:tcPr>
            <w:tcW w:type="dxa" w:w="1121"/>
            <w:shd w:val="clear" w:color="auto" w:fill="DCE6F1"/>
          </w:tcPr>
          <w:p>
            <w:pPr>
              <w:pStyle w:val="Compact"/>
              <w:spacing w:before="0" w:after="0" w:line="240" w:lineRule="auto"/>
              <w:jc w:val="left"/>
            </w:pPr>
            <w:r>
              <w:rPr>
                <w:b/>
                <w:color w:val="1F3864"/>
                <w:sz w:val="18"/>
              </w:rPr>
              <w:t xml:space="preserve">Rate</w:t>
            </w:r>
          </w:p>
        </w:tc>
        <w:tc>
          <w:tcPr>
            <w:tcW w:type="dxa" w:w="1121"/>
            <w:shd w:val="clear" w:color="auto" w:fill="DCE6F1"/>
          </w:tcPr>
          <w:p>
            <w:pPr>
              <w:pStyle w:val="Compact"/>
              <w:spacing w:before="0" w:after="0" w:line="240" w:lineRule="auto"/>
              <w:jc w:val="left"/>
            </w:pPr>
            <w:r>
              <w:rPr>
                <w:b/>
                <w:color w:val="1F3864"/>
                <w:sz w:val="18"/>
              </w:rPr>
              <w:t xml:space="preserve">Tax (₹)</w:t>
            </w:r>
          </w:p>
        </w:tc>
        <w:tc>
          <w:tcPr>
            <w:tcW w:type="dxa" w:w="1345"/>
            <w:shd w:val="clear" w:color="auto" w:fill="DCE6F1"/>
          </w:tcPr>
          <w:p>
            <w:pPr>
              <w:pStyle w:val="Compact"/>
              <w:spacing w:before="0" w:after="0" w:line="240" w:lineRule="auto"/>
              <w:jc w:val="left"/>
            </w:pPr>
            <w:r>
              <w:rPr>
                <w:b/>
                <w:color w:val="1F3864"/>
                <w:sz w:val="18"/>
              </w:rPr>
              <w:t xml:space="preserve">Paid in GSTR-3B 3.1(d) (₹)</w:t>
            </w:r>
          </w:p>
        </w:tc>
        <w:tc>
          <w:tcPr>
            <w:tcW w:type="dxa" w:w="1121"/>
            <w:shd w:val="clear" w:color="auto" w:fill="DCE6F1"/>
          </w:tcPr>
          <w:p>
            <w:pPr>
              <w:pStyle w:val="Compact"/>
              <w:spacing w:before="0" w:after="0" w:line="240" w:lineRule="auto"/>
              <w:jc w:val="left"/>
            </w:pPr>
            <w:r>
              <w:rPr>
                <w:b/>
                <w:color w:val="1F3864"/>
                <w:sz w:val="18"/>
              </w:rPr>
              <w:t xml:space="preserve">Short (₹)</w:t>
            </w:r>
          </w:p>
        </w:tc>
      </w:tr>
      <w:tr>
        <w:tc>
          <w:tcPr>
            <w:tcW w:type="dxa" w:w="1121"/>
          </w:tcPr>
          <w:p>
            <w:pPr>
              <w:pStyle w:val="Compact"/>
              <w:spacing w:before="0" w:after="0" w:line="240" w:lineRule="auto"/>
              <w:jc w:val="left"/>
            </w:pPr>
            <w:r>
              <w:rPr>
                <w:sz w:val="18"/>
              </w:rPr>
              <w:t xml:space="preserve">[ ]</w:t>
            </w:r>
          </w:p>
        </w:tc>
        <w:tc>
          <w:tcPr>
            <w:tcW w:type="dxa" w:w="1457"/>
          </w:tcPr>
          <w:p>
            <w:pPr>
              <w:pStyle w:val="Compact"/>
              <w:spacing w:before="0" w:after="0" w:line="240" w:lineRule="auto"/>
              <w:jc w:val="left"/>
            </w:pPr>
            <w:r>
              <w:rPr>
                <w:sz w:val="18"/>
              </w:rPr>
              <w:t xml:space="preserve">[ ]</w:t>
            </w:r>
          </w:p>
        </w:tc>
        <w:tc>
          <w:tcPr>
            <w:tcW w:type="dxa" w:w="1233"/>
          </w:tcPr>
          <w:p>
            <w:pPr>
              <w:pStyle w:val="Compact"/>
              <w:spacing w:before="0" w:after="0" w:line="240" w:lineRule="auto"/>
              <w:jc w:val="left"/>
            </w:pPr>
            <w:r>
              <w:rPr>
                <w:sz w:val="18"/>
              </w:rPr>
              <w:t xml:space="preserve">[ ]</w:t>
            </w:r>
          </w:p>
        </w:tc>
        <w:tc>
          <w:tcPr>
            <w:tcW w:type="dxa" w:w="1121"/>
          </w:tcPr>
          <w:p>
            <w:pPr>
              <w:pStyle w:val="Compact"/>
              <w:spacing w:before="0" w:after="0" w:line="240" w:lineRule="auto"/>
              <w:jc w:val="left"/>
            </w:pPr>
            <w:r>
              <w:rPr>
                <w:sz w:val="18"/>
              </w:rPr>
              <w:t xml:space="preserve">[ ]</w:t>
            </w:r>
          </w:p>
        </w:tc>
        <w:tc>
          <w:tcPr>
            <w:tcW w:type="dxa" w:w="1121"/>
          </w:tcPr>
          <w:p>
            <w:pPr>
              <w:pStyle w:val="Compact"/>
              <w:spacing w:before="0" w:after="0" w:line="240" w:lineRule="auto"/>
              <w:jc w:val="left"/>
            </w:pPr>
            <w:r>
              <w:rPr>
                <w:sz w:val="18"/>
              </w:rPr>
              <w:t xml:space="preserve">[ ]%</w:t>
            </w:r>
          </w:p>
        </w:tc>
        <w:tc>
          <w:tcPr>
            <w:tcW w:type="dxa" w:w="1121"/>
          </w:tcPr>
          <w:p>
            <w:pPr>
              <w:pStyle w:val="Compact"/>
              <w:spacing w:before="0" w:after="0" w:line="240" w:lineRule="auto"/>
              <w:jc w:val="left"/>
            </w:pPr>
            <w:r>
              <w:rPr>
                <w:sz w:val="18"/>
              </w:rPr>
              <w:t xml:space="preserve">[ ]</w:t>
            </w:r>
          </w:p>
        </w:tc>
        <w:tc>
          <w:tcPr>
            <w:tcW w:type="dxa" w:w="1345"/>
          </w:tcPr>
          <w:p>
            <w:pPr>
              <w:pStyle w:val="Compact"/>
              <w:spacing w:before="0" w:after="0" w:line="240" w:lineRule="auto"/>
              <w:jc w:val="left"/>
            </w:pPr>
            <w:r>
              <w:rPr>
                <w:sz w:val="18"/>
              </w:rPr>
              <w:t xml:space="preserve">[ ]</w:t>
            </w:r>
          </w:p>
        </w:tc>
        <w:tc>
          <w:tcPr>
            <w:tcW w:type="dxa" w:w="1121"/>
          </w:tcPr>
          <w:p>
            <w:pPr>
              <w:pStyle w:val="Compact"/>
              <w:spacing w:before="0" w:after="0" w:line="240" w:lineRule="auto"/>
              <w:jc w:val="left"/>
            </w:pPr>
            <w:r>
              <w:rPr>
                <w:sz w:val="18"/>
              </w:rPr>
              <w:t xml:space="preserve">[ ]</w:t>
            </w:r>
          </w:p>
        </w:tc>
      </w:tr>
      <w:tr>
        <w:tc>
          <w:tcPr>
            <w:tcW w:type="dxa" w:w="1121"/>
            <w:shd w:val="clear" w:color="auto" w:fill="F2F2F2"/>
          </w:tcPr>
          <w:p>
            <w:pPr>
              <w:pStyle w:val="Compact"/>
              <w:spacing w:before="0" w:after="0" w:line="240" w:lineRule="auto"/>
              <w:jc w:val="left"/>
            </w:pPr>
            <w:r>
              <w:rPr>
                <w:sz w:val="18"/>
              </w:rPr>
              <w:t xml:space="preserve">Total</w:t>
            </w:r>
          </w:p>
        </w:tc>
        <w:tc>
          <w:tcPr>
            <w:tcW w:type="dxa" w:w="1457"/>
            <w:shd w:val="clear" w:color="auto" w:fill="F2F2F2"/>
          </w:tcPr>
          <w:p>
            <w:pPr>
              <w:pStyle w:val="Compact"/>
              <w:spacing w:before="0" w:after="0" w:line="240" w:lineRule="auto"/>
            </w:pPr>
          </w:p>
        </w:tc>
        <w:tc>
          <w:tcPr>
            <w:tcW w:type="dxa" w:w="1233"/>
            <w:shd w:val="clear" w:color="auto" w:fill="F2F2F2"/>
          </w:tcPr>
          <w:p>
            <w:pPr>
              <w:pStyle w:val="Compact"/>
              <w:spacing w:before="0" w:after="0" w:line="240" w:lineRule="auto"/>
            </w:pPr>
          </w:p>
        </w:tc>
        <w:tc>
          <w:tcPr>
            <w:tcW w:type="dxa" w:w="1121"/>
            <w:shd w:val="clear" w:color="auto" w:fill="F2F2F2"/>
          </w:tcPr>
          <w:p>
            <w:pPr>
              <w:pStyle w:val="Compact"/>
              <w:spacing w:before="0" w:after="0" w:line="240" w:lineRule="auto"/>
              <w:jc w:val="left"/>
            </w:pPr>
            <w:r>
              <w:rPr>
                <w:sz w:val="18"/>
              </w:rPr>
              <w:t xml:space="preserve">[ ]</w:t>
            </w:r>
          </w:p>
        </w:tc>
        <w:tc>
          <w:tcPr>
            <w:tcW w:type="dxa" w:w="1121"/>
            <w:shd w:val="clear" w:color="auto" w:fill="F2F2F2"/>
          </w:tcPr>
          <w:p>
            <w:pPr>
              <w:pStyle w:val="Compact"/>
              <w:spacing w:before="0" w:after="0" w:line="240" w:lineRule="auto"/>
            </w:pPr>
          </w:p>
        </w:tc>
        <w:tc>
          <w:tcPr>
            <w:tcW w:type="dxa" w:w="1121"/>
            <w:shd w:val="clear" w:color="auto" w:fill="F2F2F2"/>
          </w:tcPr>
          <w:p>
            <w:pPr>
              <w:pStyle w:val="Compact"/>
              <w:spacing w:before="0" w:after="0" w:line="240" w:lineRule="auto"/>
              <w:jc w:val="left"/>
            </w:pPr>
            <w:r>
              <w:rPr>
                <w:sz w:val="18"/>
              </w:rPr>
              <w:t xml:space="preserve">[ ]</w:t>
            </w:r>
          </w:p>
        </w:tc>
        <w:tc>
          <w:tcPr>
            <w:tcW w:type="dxa" w:w="1345"/>
            <w:shd w:val="clear" w:color="auto" w:fill="F2F2F2"/>
          </w:tcPr>
          <w:p>
            <w:pPr>
              <w:pStyle w:val="Compact"/>
              <w:spacing w:before="0" w:after="0" w:line="240" w:lineRule="auto"/>
              <w:jc w:val="left"/>
            </w:pPr>
            <w:r>
              <w:rPr>
                <w:sz w:val="18"/>
              </w:rPr>
              <w:t xml:space="preserve">[ ]</w:t>
            </w:r>
          </w:p>
        </w:tc>
        <w:tc>
          <w:tcPr>
            <w:tcW w:type="dxa" w:w="1121"/>
            <w:shd w:val="clear" w:color="auto" w:fill="F2F2F2"/>
          </w:tcPr>
          <w:p>
            <w:pPr>
              <w:pStyle w:val="Compact"/>
              <w:spacing w:before="0" w:after="0" w:line="240" w:lineRule="auto"/>
              <w:jc w:val="left"/>
            </w:pPr>
            <w:r>
              <w:rPr>
                <w:sz w:val="18"/>
              </w:rPr>
              <w:t xml:space="preserve">[ ]</w:t>
            </w:r>
          </w:p>
        </w:tc>
      </w:tr>
    </w:tbl>
    <w:p>
      <w:pPr>
        <w:pStyle w:val="BodyText"/>
        <w:spacing w:before="0" w:after="120" w:line="269" w:lineRule="auto"/>
        <w:jc w:val="both"/>
      </w:pPr>
      <w:r>
        <w:rPr>
          <w:bCs/>
          <w:b/>
        </w:rPr>
        <w:t xml:space="preserve">(b) Provisions:</w:t>
      </w:r>
      <w:r>
        <w:t xml:space="preserve"> </w:t>
      </w:r>
      <w:r>
        <w:t xml:space="preserve">section 9(3) / 9(4) and the notification entry; section 2(82); section 31(3)(f) and (g) (self-invoice and payment voucher); the time-of-supply provision for reverse charge; section [73] [74A]; section 50(1).</w:t>
      </w:r>
    </w:p>
    <w:p>
      <w:pPr>
        <w:pStyle w:val="BlockText"/>
        <w:shd w:val="clear" w:color="auto" w:fill="E7E6E6"/>
      </w:pPr>
      <w:r>
        <w:rPr>
          <w:bCs/>
          <w:b/>
          <w:sz w:val="21"/>
        </w:rPr>
        <w:t xml:space="preserve">(e) Verify before issuing.</w:t>
      </w:r>
      <w:r>
        <w:rPr>
          <w:sz w:val="21"/>
        </w:rPr>
        <w:t xml:space="preserve"> </w:t>
      </w:r>
      <w:r>
        <w:rPr>
          <w:sz w:val="21"/>
        </w:rPr>
        <w:t xml:space="preserve">(1) Quote the exact RCM entry and the rate entry, with</w:t>
      </w:r>
      <w:r>
        <w:rPr>
          <w:sz w:val="21"/>
        </w:rPr>
        <w:t xml:space="preserve"> </w:t>
      </w:r>
      <w:r>
        <w:rPr>
          <w:sz w:val="21"/>
        </w:rPr>
        <w:t xml:space="preserve">“</w:t>
      </w:r>
      <w:r>
        <w:rPr>
          <w:sz w:val="21"/>
        </w:rPr>
        <w:t xml:space="preserve">(Rate)</w:t>
      </w:r>
      <w:r>
        <w:rPr>
          <w:sz w:val="21"/>
        </w:rPr>
        <w:t xml:space="preserve">”</w:t>
      </w:r>
      <w:r>
        <w:rPr>
          <w:sz w:val="21"/>
        </w:rPr>
        <w:t xml:space="preserve"> </w:t>
      </w:r>
      <w:r>
        <w:rPr>
          <w:sz w:val="21"/>
        </w:rPr>
        <w:t xml:space="preserve">in the notification number. (2) For each payment to a Government or local authority: name the law under which the fee is charged, the service, the RCM entry, and why each exemption entry (Notification No. 12/2017-Central Tax (Rate), as amended) does not apply; deal with Circular No. 121/40/2019-GST where liquor licences are involved. The rate and exemption notifications are not in the project library: read the current text before quoting an entry. (3) Royalty, DMF and similar payments on mining leases: the question whether GST is payable is pending (record the pendency; the Supreme Court held in</w:t>
      </w:r>
      <w:r>
        <w:rPr>
          <w:sz w:val="21"/>
        </w:rPr>
        <w:t xml:space="preserve"> </w:t>
      </w:r>
      <w:r>
        <w:rPr>
          <w:iCs/>
          <w:i/>
          <w:sz w:val="21"/>
        </w:rPr>
        <w:t xml:space="preserve">Mineral Area Development Authority</w:t>
      </w:r>
      <w:r>
        <w:rPr>
          <w:sz w:val="21"/>
        </w:rPr>
        <w:t xml:space="preserve"> </w:t>
      </w:r>
      <w:r>
        <w:rPr>
          <w:sz w:val="21"/>
        </w:rPr>
        <w:t xml:space="preserve">(25.07.2024) that royalty is not a tax, which does not decide the GST question). Do not plead suppression on such an industry-wide issue. (4) Value and period from the noticee’s ledgers, with the source. (5) Revenue neutrality is not a defence to tax and interest, but it bears on intent: invoke section 74 only on specific facts.</w:t>
      </w:r>
    </w:p>
    <w:bookmarkEnd w:id="25"/>
    <w:bookmarkStart w:id="26" w:name="Xfeae9e5f9c0d9ce9518033e62d499a66ae2bbb9"/>
    <w:p>
      <w:pPr>
        <w:pStyle w:val="Heading3"/>
        <w:keepNext/>
        <w:spacing w:before="240" w:after="80"/>
        <w:pBdr>
          <w:bottom w:val="single" w:sz="6" w:space="1" w:color="B4C6E7"/>
        </w:pBdr>
      </w:pPr>
      <w:r>
        <w:rPr>
          <w:b/>
          <w:color w:val="1F3864"/>
          <w:sz w:val="25"/>
        </w:rPr>
        <w:t xml:space="preserve">Module 6. Credit on invoices without supply; non-existent supplier</w:t>
      </w:r>
    </w:p>
    <w:p>
      <w:pPr>
        <w:pStyle w:val="FirstParagraph"/>
        <w:spacing w:before="0" w:after="120" w:line="269" w:lineRule="auto"/>
      </w:pPr>
      <w:r>
        <w:rPr>
          <w:bCs/>
          <w:b/>
        </w:rPr>
        <w:t xml:space="preserve">(a) Allegation</w:t>
      </w:r>
    </w:p>
    <w:p>
      <w:pPr>
        <w:pStyle w:val="BodyText"/>
        <w:spacing w:before="0" w:after="120" w:line="269" w:lineRule="auto"/>
        <w:jc w:val="both"/>
      </w:pPr>
      <w:r>
        <w:t xml:space="preserve">3.[n].1 During [period], the noticee availed credit of ₹[ ] on [ ] invoices issued by [supplier(s) S-1 to S-[ ]] (Table 6; RUD-[ ]) and utilised ₹[ ] of it to pay output tax. The inquiry shows that no goods or services were received against these invoices, for the following reasons, each stated supplier by supplier in Table 6:</w:t>
      </w:r>
      <w:r>
        <w:t xml:space="preserve"> </w:t>
      </w:r>
      <w:r>
        <w:t xml:space="preserve">- (i)</w:t>
      </w:r>
      <w:r>
        <w:t xml:space="preserve"> </w:t>
      </w:r>
      <w:r>
        <w:rPr>
          <w:bCs/>
          <w:b/>
        </w:rPr>
        <w:t xml:space="preserve">The supplier did not exist / did not carry on business</w:t>
      </w:r>
      <w:r>
        <w:t xml:space="preserve"> </w:t>
      </w:r>
      <w:r>
        <w:t xml:space="preserve">at its declared place: inspection on [DD.MM.YYYY] by [officer] found [ ] (panchnama / inspection report, RUD-[ ], with photographs and location details).</w:t>
      </w:r>
      <w:r>
        <w:t xml:space="preserve"> </w:t>
      </w:r>
      <w:r>
        <w:t xml:space="preserve">- (ii)</w:t>
      </w:r>
      <w:r>
        <w:t xml:space="preserve"> </w:t>
      </w:r>
      <w:r>
        <w:rPr>
          <w:bCs/>
          <w:b/>
        </w:rPr>
        <w:t xml:space="preserve">The supplier’s returns:</w:t>
      </w:r>
      <w:r>
        <w:t xml:space="preserve"> </w:t>
      </w:r>
      <w:r>
        <w:t xml:space="preserve">[no GSTR-3B / nil cash payment / outward supplies matched by inward credit from non-existent firms] for [months] (RUD-[ ]).</w:t>
      </w:r>
      <w:r>
        <w:t xml:space="preserve"> </w:t>
      </w:r>
      <w:r>
        <w:t xml:space="preserve">- (iii)</w:t>
      </w:r>
      <w:r>
        <w:t xml:space="preserve"> </w:t>
      </w:r>
      <w:r>
        <w:rPr>
          <w:bCs/>
          <w:b/>
        </w:rPr>
        <w:t xml:space="preserve">No movement of goods:</w:t>
      </w:r>
      <w:r>
        <w:t xml:space="preserve"> </w:t>
      </w:r>
      <w:r>
        <w:t xml:space="preserve">[no e-way bills / e-way bills for vehicles that, per [toll / FASTag / transporter] records, did not travel on those dates / vehicles that are [two-wheelers / cars]] (RUD-[ ]).</w:t>
      </w:r>
      <w:r>
        <w:t xml:space="preserve"> </w:t>
      </w:r>
      <w:r>
        <w:t xml:space="preserve">- (iv)</w:t>
      </w:r>
      <w:r>
        <w:t xml:space="preserve"> </w:t>
      </w:r>
      <w:r>
        <w:rPr>
          <w:bCs/>
          <w:b/>
        </w:rPr>
        <w:t xml:space="preserve">Payment trail:</w:t>
      </w:r>
      <w:r>
        <w:t xml:space="preserve"> </w:t>
      </w:r>
      <w:r>
        <w:t xml:space="preserve">[payments made to the supplier were withdrawn in cash / returned to [the noticee / its director] within [ ] days] (bank statements, RUD-[ ]).</w:t>
      </w:r>
      <w:r>
        <w:t xml:space="preserve"> </w:t>
      </w:r>
      <w:r>
        <w:t xml:space="preserve">- (v)</w:t>
      </w:r>
      <w:r>
        <w:t xml:space="preserve"> </w:t>
      </w:r>
      <w:r>
        <w:rPr>
          <w:bCs/>
          <w:b/>
        </w:rPr>
        <w:t xml:space="preserve">Statements:</w:t>
      </w:r>
      <w:r>
        <w:t xml:space="preserve"> </w:t>
      </w:r>
      <w:r>
        <w:t xml:space="preserve">[designation] of [supplier / transporter / noticee] stated on [DD.MM.YYYY] under section 70 that [ ] (RUD-[ ], Q.[ ]).</w:t>
      </w:r>
      <w:r>
        <w:t xml:space="preserve"> </w:t>
      </w:r>
      <w:r>
        <w:t xml:space="preserve">- (vi)</w:t>
      </w:r>
      <w:r>
        <w:t xml:space="preserve"> </w:t>
      </w:r>
      <w:r>
        <w:rPr>
          <w:bCs/>
          <w:b/>
        </w:rPr>
        <w:t xml:space="preserve">Documents not produced:</w:t>
      </w:r>
      <w:r>
        <w:t xml:space="preserve"> </w:t>
      </w:r>
      <w:r>
        <w:t xml:space="preserve">by letters dated [ ] and [ ] (RUD-[ ]), the noticee was asked to produce transport documents, goods-receipt notes, stock registers and payment proof for these invoices. [It did not reply] / [It produced [ ], which does not establish receipt because [ ]].</w:t>
      </w:r>
    </w:p>
    <w:p>
      <w:pPr>
        <w:pStyle w:val="BodyText"/>
        <w:spacing w:before="0" w:after="120" w:line="269" w:lineRule="auto"/>
        <w:jc w:val="both"/>
      </w:pPr>
      <w:r>
        <w:t xml:space="preserve">3.[n].2 Under section 16(2)(b), a registered person is entitled to credit only if he has received the goods or services. Under section 155, the burden of proving eligibility for credit lies on the person who claims it. The dealer must prove the genuineness of the transaction and the physical movement of goods; invoices and payment by bank alone are not enough (</w:t>
      </w:r>
      <w:r>
        <w:rPr>
          <w:iCs/>
          <w:i/>
        </w:rPr>
        <w:t xml:space="preserve">State of Karnataka v. Ecom Gill Coffee Trading Pvt Ltd</w:t>
      </w:r>
      <w:r>
        <w:t xml:space="preserve">, Supreme Court, 13.03.2023, CA 230/2023, under the KVAT Act). Credit of ₹[ ] therefore appears to have been wrongly availed and utilised in contravention of section 16(2)(b).</w:t>
      </w:r>
    </w:p>
    <w:p>
      <w:pPr>
        <w:pStyle w:val="BodyText"/>
        <w:spacing w:before="0" w:after="120" w:line="269" w:lineRule="auto"/>
        <w:jc w:val="both"/>
      </w:pPr>
      <w:r>
        <w:t xml:space="preserve">3.[n].3 Under Circular No. 171/03/2022-GST, a recipient who has availed and utilised credit on an invoice without receipt of goods or services is liable to pay the credit with interest and penalty under section 74 [74A]; no separate penalty under section 122 is imposed on it for the same act (section 75(13)). [The person at whose instance the transactions were conducted and who retained their benefit, [name, role], is proposed to be penalised under section 122(1A): A1 para 8.3.]</w:t>
      </w:r>
    </w:p>
    <w:p>
      <w:pPr>
        <w:pStyle w:val="BodyText"/>
        <w:spacing w:before="0" w:after="120" w:line="269" w:lineRule="auto"/>
      </w:pPr>
      <w:r>
        <w:rPr>
          <w:iCs/>
          <w:i/>
        </w:rPr>
        <w:t xml:space="preserve">Table 6: Supplier-wise evidence</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884"/>
        <w:gridCol w:w="1503"/>
        <w:gridCol w:w="1149"/>
        <w:gridCol w:w="1326"/>
        <w:gridCol w:w="1326"/>
        <w:gridCol w:w="1149"/>
        <w:gridCol w:w="1061"/>
        <w:gridCol w:w="1238"/>
      </w:tblGrid>
      <w:tr>
        <w:trPr>
          <w:tblHeader w:val="true"/>
          <w:tblHeader/>
        </w:trPr>
        <w:tc>
          <w:tcPr>
            <w:tcW w:type="dxa" w:w="884"/>
            <w:shd w:val="clear" w:color="auto" w:fill="DCE6F1"/>
          </w:tcPr>
          <w:p>
            <w:pPr>
              <w:pStyle w:val="Compact"/>
              <w:spacing w:before="0" w:after="0" w:line="240" w:lineRule="auto"/>
              <w:jc w:val="left"/>
            </w:pPr>
            <w:r>
              <w:rPr>
                <w:b/>
                <w:color w:val="1F3864"/>
                <w:sz w:val="18"/>
              </w:rPr>
              <w:t xml:space="preserve">No.</w:t>
            </w:r>
          </w:p>
        </w:tc>
        <w:tc>
          <w:tcPr>
            <w:tcW w:type="dxa" w:w="1503"/>
            <w:shd w:val="clear" w:color="auto" w:fill="DCE6F1"/>
          </w:tcPr>
          <w:p>
            <w:pPr>
              <w:pStyle w:val="Compact"/>
              <w:spacing w:before="0" w:after="0" w:line="240" w:lineRule="auto"/>
              <w:jc w:val="left"/>
            </w:pPr>
            <w:r>
              <w:rPr>
                <w:b/>
                <w:color w:val="1F3864"/>
                <w:sz w:val="18"/>
              </w:rPr>
              <w:t xml:space="preserve">Supplier, GSTIN, registration status</w:t>
            </w:r>
          </w:p>
        </w:tc>
        <w:tc>
          <w:tcPr>
            <w:tcW w:type="dxa" w:w="1149"/>
            <w:shd w:val="clear" w:color="auto" w:fill="DCE6F1"/>
          </w:tcPr>
          <w:p>
            <w:pPr>
              <w:pStyle w:val="Compact"/>
              <w:spacing w:before="0" w:after="0" w:line="240" w:lineRule="auto"/>
              <w:jc w:val="left"/>
            </w:pPr>
            <w:r>
              <w:rPr>
                <w:b/>
                <w:color w:val="1F3864"/>
                <w:sz w:val="18"/>
              </w:rPr>
              <w:t xml:space="preserve">Invoices and credit (₹)</w:t>
            </w:r>
          </w:p>
        </w:tc>
        <w:tc>
          <w:tcPr>
            <w:tcW w:type="dxa" w:w="1326"/>
            <w:shd w:val="clear" w:color="auto" w:fill="DCE6F1"/>
          </w:tcPr>
          <w:p>
            <w:pPr>
              <w:pStyle w:val="Compact"/>
              <w:spacing w:before="0" w:after="0" w:line="240" w:lineRule="auto"/>
              <w:jc w:val="left"/>
            </w:pPr>
            <w:r>
              <w:rPr>
                <w:b/>
                <w:color w:val="1F3864"/>
                <w:sz w:val="18"/>
              </w:rPr>
              <w:t xml:space="preserve">Inspection (date, finding, RUD)</w:t>
            </w:r>
          </w:p>
        </w:tc>
        <w:tc>
          <w:tcPr>
            <w:tcW w:type="dxa" w:w="1326"/>
            <w:shd w:val="clear" w:color="auto" w:fill="DCE6F1"/>
          </w:tcPr>
          <w:p>
            <w:pPr>
              <w:pStyle w:val="Compact"/>
              <w:spacing w:before="0" w:after="0" w:line="240" w:lineRule="auto"/>
              <w:jc w:val="left"/>
            </w:pPr>
            <w:r>
              <w:rPr>
                <w:b/>
                <w:color w:val="1F3864"/>
                <w:sz w:val="18"/>
              </w:rPr>
              <w:t xml:space="preserve">Supplier’s returns (RUD)</w:t>
            </w:r>
          </w:p>
        </w:tc>
        <w:tc>
          <w:tcPr>
            <w:tcW w:type="dxa" w:w="1149"/>
            <w:shd w:val="clear" w:color="auto" w:fill="DCE6F1"/>
          </w:tcPr>
          <w:p>
            <w:pPr>
              <w:pStyle w:val="Compact"/>
              <w:spacing w:before="0" w:after="0" w:line="240" w:lineRule="auto"/>
              <w:jc w:val="left"/>
            </w:pPr>
            <w:r>
              <w:rPr>
                <w:b/>
                <w:color w:val="1F3864"/>
                <w:sz w:val="18"/>
              </w:rPr>
              <w:t xml:space="preserve">Movement evidence (RUD)</w:t>
            </w:r>
          </w:p>
        </w:tc>
        <w:tc>
          <w:tcPr>
            <w:tcW w:type="dxa" w:w="1061"/>
            <w:shd w:val="clear" w:color="auto" w:fill="DCE6F1"/>
          </w:tcPr>
          <w:p>
            <w:pPr>
              <w:pStyle w:val="Compact"/>
              <w:spacing w:before="0" w:after="0" w:line="240" w:lineRule="auto"/>
              <w:jc w:val="left"/>
            </w:pPr>
            <w:r>
              <w:rPr>
                <w:b/>
                <w:color w:val="1F3864"/>
                <w:sz w:val="18"/>
              </w:rPr>
              <w:t xml:space="preserve">Payment trail (RUD)</w:t>
            </w:r>
          </w:p>
        </w:tc>
        <w:tc>
          <w:tcPr>
            <w:tcW w:type="dxa" w:w="1238"/>
            <w:shd w:val="clear" w:color="auto" w:fill="DCE6F1"/>
          </w:tcPr>
          <w:p>
            <w:pPr>
              <w:pStyle w:val="Compact"/>
              <w:spacing w:before="0" w:after="0" w:line="240" w:lineRule="auto"/>
              <w:jc w:val="left"/>
            </w:pPr>
            <w:r>
              <w:rPr>
                <w:b/>
                <w:color w:val="1F3864"/>
                <w:sz w:val="18"/>
              </w:rPr>
              <w:t xml:space="preserve">Documents called for / produced</w:t>
            </w:r>
          </w:p>
        </w:tc>
      </w:tr>
      <w:tr>
        <w:tc>
          <w:tcPr>
            <w:tcW w:type="dxa" w:w="884"/>
          </w:tcPr>
          <w:p>
            <w:pPr>
              <w:pStyle w:val="Compact"/>
              <w:spacing w:before="0" w:after="0" w:line="240" w:lineRule="auto"/>
              <w:jc w:val="left"/>
            </w:pPr>
            <w:r>
              <w:rPr>
                <w:sz w:val="18"/>
              </w:rPr>
              <w:t xml:space="preserve">S-1</w:t>
            </w:r>
          </w:p>
        </w:tc>
        <w:tc>
          <w:tcPr>
            <w:tcW w:type="dxa" w:w="1503"/>
          </w:tcPr>
          <w:p>
            <w:pPr>
              <w:pStyle w:val="Compact"/>
              <w:spacing w:before="0" w:after="0" w:line="240" w:lineRule="auto"/>
              <w:jc w:val="left"/>
            </w:pPr>
            <w:r>
              <w:rPr>
                <w:sz w:val="18"/>
              </w:rPr>
              <w:t xml:space="preserve">[ ]</w:t>
            </w:r>
          </w:p>
        </w:tc>
        <w:tc>
          <w:tcPr>
            <w:tcW w:type="dxa" w:w="1149"/>
          </w:tcPr>
          <w:p>
            <w:pPr>
              <w:pStyle w:val="Compact"/>
              <w:spacing w:before="0" w:after="0" w:line="240" w:lineRule="auto"/>
              <w:jc w:val="left"/>
            </w:pPr>
            <w:r>
              <w:rPr>
                <w:sz w:val="18"/>
              </w:rPr>
              <w:t xml:space="preserve">[ ]</w:t>
            </w:r>
          </w:p>
        </w:tc>
        <w:tc>
          <w:tcPr>
            <w:tcW w:type="dxa" w:w="1326"/>
          </w:tcPr>
          <w:p>
            <w:pPr>
              <w:pStyle w:val="Compact"/>
              <w:spacing w:before="0" w:after="0" w:line="240" w:lineRule="auto"/>
              <w:jc w:val="left"/>
            </w:pPr>
            <w:r>
              <w:rPr>
                <w:sz w:val="18"/>
              </w:rPr>
              <w:t xml:space="preserve">[ ]</w:t>
            </w:r>
          </w:p>
        </w:tc>
        <w:tc>
          <w:tcPr>
            <w:tcW w:type="dxa" w:w="1326"/>
          </w:tcPr>
          <w:p>
            <w:pPr>
              <w:pStyle w:val="Compact"/>
              <w:spacing w:before="0" w:after="0" w:line="240" w:lineRule="auto"/>
              <w:jc w:val="left"/>
            </w:pPr>
            <w:r>
              <w:rPr>
                <w:sz w:val="18"/>
              </w:rPr>
              <w:t xml:space="preserve">[ ]</w:t>
            </w:r>
          </w:p>
        </w:tc>
        <w:tc>
          <w:tcPr>
            <w:tcW w:type="dxa" w:w="1149"/>
          </w:tcPr>
          <w:p>
            <w:pPr>
              <w:pStyle w:val="Compact"/>
              <w:spacing w:before="0" w:after="0" w:line="240" w:lineRule="auto"/>
              <w:jc w:val="left"/>
            </w:pPr>
            <w:r>
              <w:rPr>
                <w:sz w:val="18"/>
              </w:rPr>
              <w:t xml:space="preserve">[ ]</w:t>
            </w:r>
          </w:p>
        </w:tc>
        <w:tc>
          <w:tcPr>
            <w:tcW w:type="dxa" w:w="1061"/>
          </w:tcPr>
          <w:p>
            <w:pPr>
              <w:pStyle w:val="Compact"/>
              <w:spacing w:before="0" w:after="0" w:line="240" w:lineRule="auto"/>
              <w:jc w:val="left"/>
            </w:pPr>
            <w:r>
              <w:rPr>
                <w:sz w:val="18"/>
              </w:rPr>
              <w:t xml:space="preserve">[ ]</w:t>
            </w:r>
          </w:p>
        </w:tc>
        <w:tc>
          <w:tcPr>
            <w:tcW w:type="dxa" w:w="1238"/>
          </w:tcPr>
          <w:p>
            <w:pPr>
              <w:pStyle w:val="Compact"/>
              <w:spacing w:before="0" w:after="0" w:line="240" w:lineRule="auto"/>
              <w:jc w:val="left"/>
            </w:pPr>
            <w:r>
              <w:rPr>
                <w:sz w:val="18"/>
              </w:rPr>
              <w:t xml:space="preserve">[ ]</w:t>
            </w:r>
          </w:p>
        </w:tc>
      </w:tr>
      <w:tr>
        <w:tc>
          <w:tcPr>
            <w:tcW w:type="dxa" w:w="884"/>
            <w:shd w:val="clear" w:color="auto" w:fill="F2F2F2"/>
          </w:tcPr>
          <w:p>
            <w:pPr>
              <w:pStyle w:val="Compact"/>
              <w:spacing w:before="0" w:after="0" w:line="240" w:lineRule="auto"/>
              <w:jc w:val="left"/>
            </w:pPr>
            <w:r>
              <w:rPr>
                <w:sz w:val="18"/>
              </w:rPr>
              <w:t xml:space="preserve">Total</w:t>
            </w:r>
          </w:p>
        </w:tc>
        <w:tc>
          <w:tcPr>
            <w:tcW w:type="dxa" w:w="1503"/>
            <w:shd w:val="clear" w:color="auto" w:fill="F2F2F2"/>
          </w:tcPr>
          <w:p>
            <w:pPr>
              <w:pStyle w:val="Compact"/>
              <w:spacing w:before="0" w:after="0" w:line="240" w:lineRule="auto"/>
            </w:pPr>
          </w:p>
        </w:tc>
        <w:tc>
          <w:tcPr>
            <w:tcW w:type="dxa" w:w="1149"/>
            <w:shd w:val="clear" w:color="auto" w:fill="F2F2F2"/>
          </w:tcPr>
          <w:p>
            <w:pPr>
              <w:pStyle w:val="Compact"/>
              <w:spacing w:before="0" w:after="0" w:line="240" w:lineRule="auto"/>
              <w:jc w:val="left"/>
            </w:pPr>
            <w:r>
              <w:rPr>
                <w:sz w:val="18"/>
              </w:rPr>
              <w:t xml:space="preserve">[ ]</w:t>
            </w:r>
          </w:p>
        </w:tc>
        <w:tc>
          <w:tcPr>
            <w:tcW w:type="dxa" w:w="1326"/>
            <w:shd w:val="clear" w:color="auto" w:fill="F2F2F2"/>
          </w:tcPr>
          <w:p>
            <w:pPr>
              <w:pStyle w:val="Compact"/>
              <w:spacing w:before="0" w:after="0" w:line="240" w:lineRule="auto"/>
            </w:pPr>
          </w:p>
        </w:tc>
        <w:tc>
          <w:tcPr>
            <w:tcW w:type="dxa" w:w="1326"/>
            <w:shd w:val="clear" w:color="auto" w:fill="F2F2F2"/>
          </w:tcPr>
          <w:p>
            <w:pPr>
              <w:pStyle w:val="Compact"/>
              <w:spacing w:before="0" w:after="0" w:line="240" w:lineRule="auto"/>
            </w:pPr>
          </w:p>
        </w:tc>
        <w:tc>
          <w:tcPr>
            <w:tcW w:type="dxa" w:w="1149"/>
            <w:shd w:val="clear" w:color="auto" w:fill="F2F2F2"/>
          </w:tcPr>
          <w:p>
            <w:pPr>
              <w:pStyle w:val="Compact"/>
              <w:spacing w:before="0" w:after="0" w:line="240" w:lineRule="auto"/>
            </w:pPr>
          </w:p>
        </w:tc>
        <w:tc>
          <w:tcPr>
            <w:tcW w:type="dxa" w:w="1061"/>
            <w:shd w:val="clear" w:color="auto" w:fill="F2F2F2"/>
          </w:tcPr>
          <w:p>
            <w:pPr>
              <w:pStyle w:val="Compact"/>
              <w:spacing w:before="0" w:after="0" w:line="240" w:lineRule="auto"/>
            </w:pPr>
          </w:p>
        </w:tc>
        <w:tc>
          <w:tcPr>
            <w:tcW w:type="dxa" w:w="1238"/>
            <w:shd w:val="clear" w:color="auto" w:fill="F2F2F2"/>
          </w:tcPr>
          <w:p>
            <w:pPr>
              <w:pStyle w:val="Compact"/>
              <w:spacing w:before="0" w:after="0" w:line="240" w:lineRule="auto"/>
            </w:pPr>
          </w:p>
        </w:tc>
      </w:tr>
    </w:tbl>
    <w:p>
      <w:pPr>
        <w:pStyle w:val="BodyText"/>
        <w:spacing w:before="0" w:after="120" w:line="269" w:lineRule="auto"/>
        <w:jc w:val="both"/>
      </w:pPr>
      <w:r>
        <w:rPr>
          <w:bCs/>
          <w:b/>
        </w:rPr>
        <w:t xml:space="preserve">(f) Facts for section 74 / 74A(5)(ii)</w:t>
      </w:r>
      <w:r>
        <w:t xml:space="preserve"> </w:t>
      </w:r>
      <w:r>
        <w:t xml:space="preserve">(paste into A1 Part 5). Ground:</w:t>
      </w:r>
      <w:r>
        <w:t xml:space="preserve"> </w:t>
      </w:r>
      <w:r>
        <w:rPr>
          <w:bCs/>
          <w:b/>
        </w:rPr>
        <w:t xml:space="preserve">fraud</w:t>
      </w:r>
      <w:r>
        <w:t xml:space="preserve">. The noticee availed and utilised credit of ₹[ ] on invoices of [S-1 to S-[ ]] against which, on the evidence in para 3.[n].1, no goods were received: [the supplier did not exist at the declared place (RUD-[ ]); no vehicle carried the goods (RUD-[ ]); the money paid came back to [ ] within [ ] days (RUD-[ ])]. The noticee [did not produce any transport or receipt document despite letters dated [ ] and [ ] (Explanation 2: failure to furnish information asked for in writing)]. Credit taken on invoices for goods never received, and paid for through a circular flow of funds, cannot be a bona fide error; it was taken to reduce the cash payment of output tax, which shows intent to evade tax.</w:t>
      </w:r>
    </w:p>
    <w:p>
      <w:pPr>
        <w:pStyle w:val="BodyText"/>
        <w:spacing w:before="0" w:after="120" w:line="269" w:lineRule="auto"/>
        <w:jc w:val="both"/>
      </w:pPr>
      <w:r>
        <w:rPr>
          <w:bCs/>
          <w:b/>
        </w:rPr>
        <w:t xml:space="preserve">(b) Provisions:</w:t>
      </w:r>
      <w:r>
        <w:t xml:space="preserve"> </w:t>
      </w:r>
      <w:r>
        <w:t xml:space="preserve">section 16(2)(b); section 155; section 74(1) [74A(1), (5)(ii)]; section 50(3); section 122(1A) (co-noticee); Circular No. 171/03/2022-GST.</w:t>
      </w:r>
    </w:p>
    <w:p>
      <w:pPr>
        <w:pStyle w:val="BlockText"/>
        <w:shd w:val="clear" w:color="auto" w:fill="E7E6E6"/>
      </w:pPr>
      <w:r>
        <w:rPr>
          <w:bCs/>
          <w:b/>
          <w:sz w:val="21"/>
        </w:rPr>
        <w:t xml:space="preserve">(e) Verify before issuing.</w:t>
      </w:r>
      <w:r>
        <w:rPr>
          <w:sz w:val="21"/>
        </w:rPr>
        <w:t xml:space="preserve"> </w:t>
      </w:r>
      <w:r>
        <w:rPr>
          <w:sz w:val="21"/>
        </w:rPr>
        <w:t xml:space="preserve">(1) Findings supplier by supplier; never rely only on the supplier’s later, retrospective cancellation. (2) Attach the inspection report, statements and any DGGI or State report; the noticee must be able to answer them. (3) Record the documents called for and why what was produced fails. (4) Offer cross-examination of persons whose statements are relied on (A1 para 10.3) and decide any request before the order. (5) Section 122(1A) only for acts on or after 01.01.2021, with the person’s role and benefit; the High Courts are divided on whether it reaches a person who is not a taxable person. (6) For the</w:t>
      </w:r>
      <w:r>
        <w:rPr>
          <w:sz w:val="21"/>
        </w:rPr>
        <w:t xml:space="preserve"> </w:t>
      </w:r>
      <w:r>
        <w:rPr>
          <w:bCs/>
          <w:b/>
          <w:sz w:val="21"/>
        </w:rPr>
        <w:t xml:space="preserve">issuer</w:t>
      </w:r>
      <w:r>
        <w:rPr>
          <w:sz w:val="21"/>
        </w:rPr>
        <w:t xml:space="preserve"> </w:t>
      </w:r>
      <w:r>
        <w:rPr>
          <w:sz w:val="21"/>
        </w:rPr>
        <w:t xml:space="preserve">of invoices without supply, there is no section 73/74 tax demand on fictitious supplies; the penalty is under section 122(1)(ii) (Circular No. 171/03/2022-GST): use a penalty-only notice adapted from A1, not this module. (7) Write separately to the recipients’ jurisdictions where this office found the fake invoices.</w:t>
      </w:r>
    </w:p>
    <w:bookmarkEnd w:id="26"/>
    <w:bookmarkStart w:id="27" w:name="X8bb9e27d3a9743381bf326dd8b8ab005b797ee6"/>
    <w:p>
      <w:pPr>
        <w:pStyle w:val="Heading3"/>
        <w:keepNext/>
        <w:spacing w:before="240" w:after="80"/>
        <w:pBdr>
          <w:bottom w:val="single" w:sz="6" w:space="1" w:color="B4C6E7"/>
        </w:pBdr>
      </w:pPr>
      <w:r>
        <w:rPr>
          <w:b/>
          <w:color w:val="1F3864"/>
          <w:sz w:val="25"/>
        </w:rPr>
        <w:t xml:space="preserve">Module 7. Unregistered person liable to registration</w:t>
      </w:r>
    </w:p>
    <w:p>
      <w:pPr>
        <w:pStyle w:val="FirstParagraph"/>
        <w:spacing w:before="0" w:after="120" w:line="269" w:lineRule="auto"/>
      </w:pPr>
      <w:r>
        <w:rPr>
          <w:bCs/>
          <w:b/>
        </w:rPr>
        <w:t xml:space="preserve">(a) Allegation</w:t>
      </w:r>
    </w:p>
    <w:p>
      <w:pPr>
        <w:pStyle w:val="BodyText"/>
        <w:spacing w:before="0" w:after="120" w:line="269" w:lineRule="auto"/>
        <w:jc w:val="both"/>
      </w:pPr>
      <w:r>
        <w:t xml:space="preserve">3.[n].1 [Name], PAN [ ], [address] (the noticee) is not registered under the CGST Act. [Information from [Mines and Geology department / DG Audit / bank / e-way bill data / third party] (RUD-[ ])] shows that during FY [YYYY-YY] the noticee made [taxable supplies of [goods / services] described as [ ]] from [place].</w:t>
      </w:r>
    </w:p>
    <w:p>
      <w:pPr>
        <w:pStyle w:val="BodyText"/>
        <w:spacing w:before="0" w:after="120" w:line="269" w:lineRule="auto"/>
        <w:jc w:val="both"/>
      </w:pPr>
      <w:r>
        <w:t xml:space="preserve">3.[n].2</w:t>
      </w:r>
      <w:r>
        <w:t xml:space="preserve"> </w:t>
      </w:r>
      <w:r>
        <w:rPr>
          <w:bCs/>
          <w:b/>
        </w:rPr>
        <w:t xml:space="preserve">Liability to registration.</w:t>
      </w:r>
      <w:r>
        <w:t xml:space="preserve"> </w:t>
      </w:r>
      <w:r>
        <w:t xml:space="preserve">The noticee’s aggregate turnover (section 2(6): taxable, exempt, export and inter-State supplies of all persons with the same PAN, on an all-India basis, excluding taxes) for FY [YYYY-YY] was ₹[ ], worked out in Table 7A from [source]. It exceeded the threshold of ₹[20 lakh] under section 22(1) [₹[40 lakh] for a person engaged exclusively in the supply of goods, where the State has adopted the higher limit under Notification No. 10/2019-Central Tax] on [DD.MM.YYYY]. [Or: the noticee was required to register irrespective of turnover under section 24([i] / [iii]) because [it made inter-State supplies] / [it was liable to pay tax under reverse charge on [ ]].] The noticee was required to apply within thirty days of becoming liable (section 25(1)), and did not.</w:t>
      </w:r>
    </w:p>
    <w:p>
      <w:pPr>
        <w:pStyle w:val="BodyText"/>
        <w:spacing w:before="0" w:after="120" w:line="269" w:lineRule="auto"/>
        <w:jc w:val="both"/>
      </w:pPr>
      <w:r>
        <w:t xml:space="preserve">3.[n].3</w:t>
      </w:r>
      <w:r>
        <w:t xml:space="preserve"> </w:t>
      </w:r>
      <w:r>
        <w:rPr>
          <w:bCs/>
          <w:b/>
        </w:rPr>
        <w:t xml:space="preserve">Value.</w:t>
      </w:r>
      <w:r>
        <w:t xml:space="preserve"> </w:t>
      </w:r>
      <w:r>
        <w:t xml:space="preserve">The value of the supplies is taken as [the transaction value under section 15, from the noticee’s invoices / bank credits / buyers’ records (RUD-[ ])]. [Where the transaction value could not be found: the noticee was asked for its sale records by letters dated [ ] and [ ] and did not produce them. The value is therefore determined under [rule [30 / 31] of the CGST Rules / section 63, to the best of judgment], on the basis of [ ], for the reasons in para 3.[n].4.]</w:t>
      </w:r>
    </w:p>
    <w:p>
      <w:pPr>
        <w:pStyle w:val="BodyText"/>
        <w:spacing w:before="0" w:after="120" w:line="269" w:lineRule="auto"/>
        <w:jc w:val="both"/>
      </w:pPr>
      <w:r>
        <w:t xml:space="preserve">3.[n].4</w:t>
      </w:r>
      <w:r>
        <w:t xml:space="preserve"> </w:t>
      </w:r>
      <w:r>
        <w:rPr>
          <w:bCs/>
          <w:b/>
        </w:rPr>
        <w:t xml:space="preserve">Units and conversion.</w:t>
      </w:r>
      <w:r>
        <w:t xml:space="preserve"> </w:t>
      </w:r>
      <w:r>
        <w:t xml:space="preserve">[Where any figure is converted from one unit to another:] The source data is in [unit A] (RUD-[ ]); the price is in [unit B] (RUD-[ ]). The conversion factor of [k] [unit A] per [unit B] is taken from [document, RUD-[ ]], which states [quote]. The quantity in [unit B] is therefore the quantity in [unit A]</w:t>
      </w:r>
      <w:r>
        <w:t xml:space="preserve"> </w:t>
      </w:r>
      <w:r>
        <w:rPr>
          <w:bCs/>
          <w:b/>
        </w:rPr>
        <w:t xml:space="preserve">[divided / multiplied]</w:t>
      </w:r>
      <w:r>
        <w:t xml:space="preserve"> </w:t>
      </w:r>
      <w:r>
        <w:t xml:space="preserve">by [k]. Check: [one unit B weighs / measures …]; the resulting value per [unit] of ₹[ ] compares with [the royalty paid / the market price / the noticee’s own invoices] of ₹[ ] (Table 7B).</w:t>
      </w:r>
    </w:p>
    <w:p>
      <w:pPr>
        <w:pStyle w:val="BodyText"/>
        <w:spacing w:before="0" w:after="120" w:line="269" w:lineRule="auto"/>
        <w:jc w:val="both"/>
      </w:pPr>
      <w:r>
        <w:t xml:space="preserve">3.[n].5 Tax of ₹[ ] at [ ]% under entry [ ] of Notification No. [1/2017-Central Tax (Rate)] therefore appears to be payable for FY [YYYY-YY] (Table 7B).</w:t>
      </w:r>
    </w:p>
    <w:p>
      <w:pPr>
        <w:pStyle w:val="BodyText"/>
        <w:spacing w:before="0" w:after="120" w:line="269" w:lineRule="auto"/>
      </w:pPr>
      <w:r>
        <w:rPr>
          <w:iCs/>
          <w:i/>
        </w:rPr>
        <w:t xml:space="preserve">Table 7A: Aggregate turnover and threshold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94"/>
        <w:gridCol w:w="1292"/>
        <w:gridCol w:w="1192"/>
        <w:gridCol w:w="1590"/>
        <w:gridCol w:w="1391"/>
        <w:gridCol w:w="1391"/>
        <w:gridCol w:w="1788"/>
      </w:tblGrid>
      <w:tr>
        <w:trPr>
          <w:tblHeader w:val="true"/>
          <w:tblHeader/>
        </w:trPr>
        <w:tc>
          <w:tcPr>
            <w:tcW w:type="dxa" w:w="994"/>
            <w:shd w:val="clear" w:color="auto" w:fill="DCE6F1"/>
          </w:tcPr>
          <w:p>
            <w:pPr>
              <w:pStyle w:val="Compact"/>
              <w:spacing w:before="0" w:after="0" w:line="240" w:lineRule="auto"/>
              <w:jc w:val="left"/>
            </w:pPr>
            <w:r>
              <w:rPr>
                <w:b/>
                <w:color w:val="1F3864"/>
                <w:sz w:val="18"/>
              </w:rPr>
              <w:t xml:space="preserve">FY</w:t>
            </w:r>
          </w:p>
        </w:tc>
        <w:tc>
          <w:tcPr>
            <w:tcW w:type="dxa" w:w="1292"/>
            <w:shd w:val="clear" w:color="auto" w:fill="DCE6F1"/>
          </w:tcPr>
          <w:p>
            <w:pPr>
              <w:pStyle w:val="Compact"/>
              <w:spacing w:before="0" w:after="0" w:line="240" w:lineRule="auto"/>
              <w:jc w:val="left"/>
            </w:pPr>
            <w:r>
              <w:rPr>
                <w:b/>
                <w:color w:val="1F3864"/>
                <w:sz w:val="18"/>
              </w:rPr>
              <w:t xml:space="preserve">Source of turnover</w:t>
            </w:r>
          </w:p>
        </w:tc>
        <w:tc>
          <w:tcPr>
            <w:tcW w:type="dxa" w:w="1192"/>
            <w:shd w:val="clear" w:color="auto" w:fill="DCE6F1"/>
          </w:tcPr>
          <w:p>
            <w:pPr>
              <w:pStyle w:val="Compact"/>
              <w:spacing w:before="0" w:after="0" w:line="240" w:lineRule="auto"/>
              <w:jc w:val="left"/>
            </w:pPr>
            <w:r>
              <w:rPr>
                <w:b/>
                <w:color w:val="1F3864"/>
                <w:sz w:val="18"/>
              </w:rPr>
              <w:t xml:space="preserve">Taxable (₹)</w:t>
            </w:r>
          </w:p>
        </w:tc>
        <w:tc>
          <w:tcPr>
            <w:tcW w:type="dxa" w:w="1590"/>
            <w:shd w:val="clear" w:color="auto" w:fill="DCE6F1"/>
          </w:tcPr>
          <w:p>
            <w:pPr>
              <w:pStyle w:val="Compact"/>
              <w:spacing w:before="0" w:after="0" w:line="240" w:lineRule="auto"/>
              <w:jc w:val="left"/>
            </w:pPr>
            <w:r>
              <w:rPr>
                <w:b/>
                <w:color w:val="1F3864"/>
                <w:sz w:val="18"/>
              </w:rPr>
              <w:t xml:space="preserve">Exempt / non-taxable (₹)</w:t>
            </w:r>
          </w:p>
        </w:tc>
        <w:tc>
          <w:tcPr>
            <w:tcW w:type="dxa" w:w="1391"/>
            <w:shd w:val="clear" w:color="auto" w:fill="DCE6F1"/>
          </w:tcPr>
          <w:p>
            <w:pPr>
              <w:pStyle w:val="Compact"/>
              <w:spacing w:before="0" w:after="0" w:line="240" w:lineRule="auto"/>
              <w:jc w:val="left"/>
            </w:pPr>
            <w:r>
              <w:rPr>
                <w:b/>
                <w:color w:val="1F3864"/>
                <w:sz w:val="18"/>
              </w:rPr>
              <w:t xml:space="preserve">Aggregate turnover (₹)</w:t>
            </w:r>
          </w:p>
        </w:tc>
        <w:tc>
          <w:tcPr>
            <w:tcW w:type="dxa" w:w="1391"/>
            <w:shd w:val="clear" w:color="auto" w:fill="DCE6F1"/>
          </w:tcPr>
          <w:p>
            <w:pPr>
              <w:pStyle w:val="Compact"/>
              <w:spacing w:before="0" w:after="0" w:line="240" w:lineRule="auto"/>
              <w:jc w:val="left"/>
            </w:pPr>
            <w:r>
              <w:rPr>
                <w:b/>
                <w:color w:val="1F3864"/>
                <w:sz w:val="18"/>
              </w:rPr>
              <w:t xml:space="preserve">Threshold (₹)</w:t>
            </w:r>
          </w:p>
        </w:tc>
        <w:tc>
          <w:tcPr>
            <w:tcW w:type="dxa" w:w="1788"/>
            <w:shd w:val="clear" w:color="auto" w:fill="DCE6F1"/>
          </w:tcPr>
          <w:p>
            <w:pPr>
              <w:pStyle w:val="Compact"/>
              <w:spacing w:before="0" w:after="0" w:line="240" w:lineRule="auto"/>
              <w:jc w:val="left"/>
            </w:pPr>
            <w:r>
              <w:rPr>
                <w:b/>
                <w:color w:val="1F3864"/>
                <w:sz w:val="18"/>
              </w:rPr>
              <w:t xml:space="preserve">Crossed on</w:t>
            </w:r>
          </w:p>
        </w:tc>
      </w:tr>
      <w:tr>
        <w:tc>
          <w:tcPr>
            <w:tcW w:type="dxa" w:w="994"/>
          </w:tcPr>
          <w:p>
            <w:pPr>
              <w:pStyle w:val="Compact"/>
              <w:spacing w:before="0" w:after="0" w:line="240" w:lineRule="auto"/>
              <w:jc w:val="left"/>
            </w:pPr>
            <w:r>
              <w:rPr>
                <w:sz w:val="18"/>
              </w:rPr>
              <w:t xml:space="preserve">[ ]</w:t>
            </w:r>
          </w:p>
        </w:tc>
        <w:tc>
          <w:tcPr>
            <w:tcW w:type="dxa" w:w="1292"/>
          </w:tcPr>
          <w:p>
            <w:pPr>
              <w:pStyle w:val="Compact"/>
              <w:spacing w:before="0" w:after="0" w:line="240" w:lineRule="auto"/>
              <w:jc w:val="left"/>
            </w:pPr>
            <w:r>
              <w:rPr>
                <w:sz w:val="18"/>
              </w:rPr>
              <w:t xml:space="preserve">[ ]</w:t>
            </w:r>
          </w:p>
        </w:tc>
        <w:tc>
          <w:tcPr>
            <w:tcW w:type="dxa" w:w="1192"/>
          </w:tcPr>
          <w:p>
            <w:pPr>
              <w:pStyle w:val="Compact"/>
              <w:spacing w:before="0" w:after="0" w:line="240" w:lineRule="auto"/>
              <w:jc w:val="left"/>
            </w:pPr>
            <w:r>
              <w:rPr>
                <w:sz w:val="18"/>
              </w:rPr>
              <w:t xml:space="preserve">[ ]</w:t>
            </w:r>
          </w:p>
        </w:tc>
        <w:tc>
          <w:tcPr>
            <w:tcW w:type="dxa" w:w="1590"/>
          </w:tcPr>
          <w:p>
            <w:pPr>
              <w:pStyle w:val="Compact"/>
              <w:spacing w:before="0" w:after="0" w:line="240" w:lineRule="auto"/>
              <w:jc w:val="left"/>
            </w:pPr>
            <w:r>
              <w:rPr>
                <w:sz w:val="18"/>
              </w:rPr>
              <w:t xml:space="preserve">[ ]</w:t>
            </w:r>
          </w:p>
        </w:tc>
        <w:tc>
          <w:tcPr>
            <w:tcW w:type="dxa" w:w="1391"/>
          </w:tcPr>
          <w:p>
            <w:pPr>
              <w:pStyle w:val="Compact"/>
              <w:spacing w:before="0" w:after="0" w:line="240" w:lineRule="auto"/>
              <w:jc w:val="left"/>
            </w:pPr>
            <w:r>
              <w:rPr>
                <w:sz w:val="18"/>
              </w:rPr>
              <w:t xml:space="preserve">[ ]</w:t>
            </w:r>
          </w:p>
        </w:tc>
        <w:tc>
          <w:tcPr>
            <w:tcW w:type="dxa" w:w="1391"/>
          </w:tcPr>
          <w:p>
            <w:pPr>
              <w:pStyle w:val="Compact"/>
              <w:spacing w:before="0" w:after="0" w:line="240" w:lineRule="auto"/>
              <w:jc w:val="left"/>
            </w:pPr>
            <w:r>
              <w:rPr>
                <w:sz w:val="18"/>
              </w:rPr>
              <w:t xml:space="preserve">[ ]</w:t>
            </w:r>
          </w:p>
        </w:tc>
        <w:tc>
          <w:tcPr>
            <w:tcW w:type="dxa" w:w="1788"/>
          </w:tcPr>
          <w:p>
            <w:pPr>
              <w:pStyle w:val="Compact"/>
              <w:spacing w:before="0" w:after="0" w:line="240" w:lineRule="auto"/>
              <w:jc w:val="left"/>
            </w:pPr>
            <w:r>
              <w:rPr>
                <w:sz w:val="18"/>
              </w:rPr>
              <w:t xml:space="preserve">[DD.MM.YYYY / not crossed]</w:t>
            </w:r>
          </w:p>
        </w:tc>
      </w:tr>
    </w:tbl>
    <w:p>
      <w:pPr>
        <w:pStyle w:val="BodyText"/>
        <w:spacing w:before="0" w:after="120" w:line="269" w:lineRule="auto"/>
      </w:pPr>
      <w:r>
        <w:rPr>
          <w:iCs/>
          <w:i/>
        </w:rPr>
        <w:t xml:space="preserve">Table 7B: Value and tax, with the conversion check</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887"/>
        <w:gridCol w:w="1048"/>
        <w:gridCol w:w="887"/>
        <w:gridCol w:w="1048"/>
        <w:gridCol w:w="1048"/>
        <w:gridCol w:w="807"/>
        <w:gridCol w:w="807"/>
        <w:gridCol w:w="807"/>
        <w:gridCol w:w="2299"/>
      </w:tblGrid>
      <w:tr>
        <w:trPr>
          <w:tblHeader w:val="true"/>
          <w:tblHeader/>
        </w:trPr>
        <w:tc>
          <w:tcPr>
            <w:tcW w:type="dxa" w:w="887"/>
            <w:shd w:val="clear" w:color="auto" w:fill="DCE6F1"/>
          </w:tcPr>
          <w:p>
            <w:pPr>
              <w:pStyle w:val="Compact"/>
              <w:spacing w:before="0" w:after="0" w:line="240" w:lineRule="auto"/>
              <w:jc w:val="left"/>
            </w:pPr>
            <w:r>
              <w:rPr>
                <w:b/>
                <w:color w:val="1F3864"/>
                <w:sz w:val="18"/>
              </w:rPr>
              <w:t xml:space="preserve">Period</w:t>
            </w:r>
          </w:p>
        </w:tc>
        <w:tc>
          <w:tcPr>
            <w:tcW w:type="dxa" w:w="1048"/>
            <w:shd w:val="clear" w:color="auto" w:fill="DCE6F1"/>
          </w:tcPr>
          <w:p>
            <w:pPr>
              <w:pStyle w:val="Compact"/>
              <w:spacing w:before="0" w:after="0" w:line="240" w:lineRule="auto"/>
              <w:jc w:val="left"/>
            </w:pPr>
            <w:r>
              <w:rPr>
                <w:b/>
                <w:color w:val="1F3864"/>
                <w:sz w:val="18"/>
              </w:rPr>
              <w:t xml:space="preserve">Quantity (source unit)</w:t>
            </w:r>
          </w:p>
        </w:tc>
        <w:tc>
          <w:tcPr>
            <w:tcW w:type="dxa" w:w="887"/>
            <w:shd w:val="clear" w:color="auto" w:fill="DCE6F1"/>
          </w:tcPr>
          <w:p>
            <w:pPr>
              <w:pStyle w:val="Compact"/>
              <w:spacing w:before="0" w:after="0" w:line="240" w:lineRule="auto"/>
              <w:jc w:val="left"/>
            </w:pPr>
            <w:r>
              <w:rPr>
                <w:b/>
                <w:color w:val="1F3864"/>
                <w:sz w:val="18"/>
              </w:rPr>
              <w:t xml:space="preserve">Factor and source</w:t>
            </w:r>
          </w:p>
        </w:tc>
        <w:tc>
          <w:tcPr>
            <w:tcW w:type="dxa" w:w="1048"/>
            <w:shd w:val="clear" w:color="auto" w:fill="DCE6F1"/>
          </w:tcPr>
          <w:p>
            <w:pPr>
              <w:pStyle w:val="Compact"/>
              <w:spacing w:before="0" w:after="0" w:line="240" w:lineRule="auto"/>
              <w:jc w:val="left"/>
            </w:pPr>
            <w:r>
              <w:rPr>
                <w:b/>
                <w:color w:val="1F3864"/>
                <w:sz w:val="18"/>
              </w:rPr>
              <w:t xml:space="preserve">Quantity (price unit)</w:t>
            </w:r>
          </w:p>
        </w:tc>
        <w:tc>
          <w:tcPr>
            <w:tcW w:type="dxa" w:w="1048"/>
            <w:shd w:val="clear" w:color="auto" w:fill="DCE6F1"/>
          </w:tcPr>
          <w:p>
            <w:pPr>
              <w:pStyle w:val="Compact"/>
              <w:spacing w:before="0" w:after="0" w:line="240" w:lineRule="auto"/>
              <w:jc w:val="left"/>
            </w:pPr>
            <w:r>
              <w:rPr>
                <w:b/>
                <w:color w:val="1F3864"/>
                <w:sz w:val="18"/>
              </w:rPr>
              <w:t xml:space="preserve">Price per unit (source)</w:t>
            </w:r>
          </w:p>
        </w:tc>
        <w:tc>
          <w:tcPr>
            <w:tcW w:type="dxa" w:w="807"/>
            <w:shd w:val="clear" w:color="auto" w:fill="DCE6F1"/>
          </w:tcPr>
          <w:p>
            <w:pPr>
              <w:pStyle w:val="Compact"/>
              <w:spacing w:before="0" w:after="0" w:line="240" w:lineRule="auto"/>
              <w:jc w:val="left"/>
            </w:pPr>
            <w:r>
              <w:rPr>
                <w:b/>
                <w:color w:val="1F3864"/>
                <w:sz w:val="18"/>
              </w:rPr>
              <w:t xml:space="preserve">Value (₹)</w:t>
            </w:r>
          </w:p>
        </w:tc>
        <w:tc>
          <w:tcPr>
            <w:tcW w:type="dxa" w:w="807"/>
            <w:shd w:val="clear" w:color="auto" w:fill="DCE6F1"/>
          </w:tcPr>
          <w:p>
            <w:pPr>
              <w:pStyle w:val="Compact"/>
              <w:spacing w:before="0" w:after="0" w:line="240" w:lineRule="auto"/>
              <w:jc w:val="left"/>
            </w:pPr>
            <w:r>
              <w:rPr>
                <w:b/>
                <w:color w:val="1F3864"/>
                <w:sz w:val="18"/>
              </w:rPr>
              <w:t xml:space="preserve">Rate</w:t>
            </w:r>
          </w:p>
        </w:tc>
        <w:tc>
          <w:tcPr>
            <w:tcW w:type="dxa" w:w="807"/>
            <w:shd w:val="clear" w:color="auto" w:fill="DCE6F1"/>
          </w:tcPr>
          <w:p>
            <w:pPr>
              <w:pStyle w:val="Compact"/>
              <w:spacing w:before="0" w:after="0" w:line="240" w:lineRule="auto"/>
              <w:jc w:val="left"/>
            </w:pPr>
            <w:r>
              <w:rPr>
                <w:b/>
                <w:color w:val="1F3864"/>
                <w:sz w:val="18"/>
              </w:rPr>
              <w:t xml:space="preserve">Tax (₹)</w:t>
            </w:r>
          </w:p>
        </w:tc>
        <w:tc>
          <w:tcPr>
            <w:tcW w:type="dxa" w:w="2299"/>
            <w:shd w:val="clear" w:color="auto" w:fill="DCE6F1"/>
          </w:tcPr>
          <w:p>
            <w:pPr>
              <w:pStyle w:val="Compact"/>
              <w:spacing w:before="0" w:after="0" w:line="240" w:lineRule="auto"/>
              <w:jc w:val="left"/>
            </w:pPr>
            <w:r>
              <w:rPr>
                <w:b/>
                <w:color w:val="1F3864"/>
                <w:sz w:val="18"/>
              </w:rPr>
              <w:t xml:space="preserve">Check: value per unit against [royalty / market price]</w:t>
            </w:r>
          </w:p>
        </w:tc>
      </w:tr>
      <w:tr>
        <w:tc>
          <w:tcPr>
            <w:tcW w:type="dxa" w:w="887"/>
          </w:tcPr>
          <w:p>
            <w:pPr>
              <w:pStyle w:val="Compact"/>
              <w:spacing w:before="0" w:after="0" w:line="240" w:lineRule="auto"/>
              <w:jc w:val="left"/>
            </w:pPr>
            <w:r>
              <w:rPr>
                <w:sz w:val="18"/>
              </w:rPr>
              <w:t xml:space="preserve">[ ]</w:t>
            </w:r>
          </w:p>
        </w:tc>
        <w:tc>
          <w:tcPr>
            <w:tcW w:type="dxa" w:w="1048"/>
          </w:tcPr>
          <w:p>
            <w:pPr>
              <w:pStyle w:val="Compact"/>
              <w:spacing w:before="0" w:after="0" w:line="240" w:lineRule="auto"/>
              <w:jc w:val="left"/>
            </w:pPr>
            <w:r>
              <w:rPr>
                <w:sz w:val="18"/>
              </w:rPr>
              <w:t xml:space="preserve">[ ]</w:t>
            </w:r>
          </w:p>
        </w:tc>
        <w:tc>
          <w:tcPr>
            <w:tcW w:type="dxa" w:w="887"/>
          </w:tcPr>
          <w:p>
            <w:pPr>
              <w:pStyle w:val="Compact"/>
              <w:spacing w:before="0" w:after="0" w:line="240" w:lineRule="auto"/>
              <w:jc w:val="left"/>
            </w:pPr>
            <w:r>
              <w:rPr>
                <w:sz w:val="18"/>
              </w:rPr>
              <w:t xml:space="preserve">[ ]</w:t>
            </w:r>
          </w:p>
        </w:tc>
        <w:tc>
          <w:tcPr>
            <w:tcW w:type="dxa" w:w="1048"/>
          </w:tcPr>
          <w:p>
            <w:pPr>
              <w:pStyle w:val="Compact"/>
              <w:spacing w:before="0" w:after="0" w:line="240" w:lineRule="auto"/>
              <w:jc w:val="left"/>
            </w:pPr>
            <w:r>
              <w:rPr>
                <w:sz w:val="18"/>
              </w:rPr>
              <w:t xml:space="preserve">[ ]</w:t>
            </w:r>
          </w:p>
        </w:tc>
        <w:tc>
          <w:tcPr>
            <w:tcW w:type="dxa" w:w="1048"/>
          </w:tcPr>
          <w:p>
            <w:pPr>
              <w:pStyle w:val="Compact"/>
              <w:spacing w:before="0" w:after="0" w:line="240" w:lineRule="auto"/>
              <w:jc w:val="left"/>
            </w:pPr>
            <w:r>
              <w:rPr>
                <w:sz w:val="18"/>
              </w:rPr>
              <w:t xml:space="preserve">[ ]</w:t>
            </w:r>
          </w:p>
        </w:tc>
        <w:tc>
          <w:tcPr>
            <w:tcW w:type="dxa" w:w="807"/>
          </w:tcPr>
          <w:p>
            <w:pPr>
              <w:pStyle w:val="Compact"/>
              <w:spacing w:before="0" w:after="0" w:line="240" w:lineRule="auto"/>
              <w:jc w:val="left"/>
            </w:pPr>
            <w:r>
              <w:rPr>
                <w:sz w:val="18"/>
              </w:rPr>
              <w:t xml:space="preserve">[ ]</w:t>
            </w:r>
          </w:p>
        </w:tc>
        <w:tc>
          <w:tcPr>
            <w:tcW w:type="dxa" w:w="807"/>
          </w:tcPr>
          <w:p>
            <w:pPr>
              <w:pStyle w:val="Compact"/>
              <w:spacing w:before="0" w:after="0" w:line="240" w:lineRule="auto"/>
              <w:jc w:val="left"/>
            </w:pPr>
            <w:r>
              <w:rPr>
                <w:sz w:val="18"/>
              </w:rPr>
              <w:t xml:space="preserve">[ ]%</w:t>
            </w:r>
          </w:p>
        </w:tc>
        <w:tc>
          <w:tcPr>
            <w:tcW w:type="dxa" w:w="807"/>
          </w:tcPr>
          <w:p>
            <w:pPr>
              <w:pStyle w:val="Compact"/>
              <w:spacing w:before="0" w:after="0" w:line="240" w:lineRule="auto"/>
              <w:jc w:val="left"/>
            </w:pPr>
            <w:r>
              <w:rPr>
                <w:sz w:val="18"/>
              </w:rPr>
              <w:t xml:space="preserve">[ ]</w:t>
            </w:r>
          </w:p>
        </w:tc>
        <w:tc>
          <w:tcPr>
            <w:tcW w:type="dxa" w:w="2299"/>
          </w:tcPr>
          <w:p>
            <w:pPr>
              <w:pStyle w:val="Compact"/>
              <w:spacing w:before="0" w:after="0" w:line="240" w:lineRule="auto"/>
              <w:jc w:val="left"/>
            </w:pPr>
            <w:r>
              <w:rPr>
                <w:sz w:val="18"/>
              </w:rPr>
              <w:t xml:space="preserve">[ ]</w:t>
            </w:r>
          </w:p>
        </w:tc>
      </w:tr>
    </w:tbl>
    <w:p>
      <w:pPr>
        <w:pStyle w:val="BlockText"/>
        <w:shd w:val="clear" w:color="auto" w:fill="E7E6E6"/>
      </w:pPr>
      <w:r>
        <w:rPr>
          <w:bCs/>
          <w:b/>
          <w:sz w:val="21"/>
        </w:rPr>
        <w:t xml:space="preserve">Worked check on a conversion (hypothetical figures; delete before issue).</w:t>
      </w:r>
      <w:r>
        <w:rPr>
          <w:sz w:val="21"/>
        </w:rPr>
        <w:t xml:space="preserve"> </w:t>
      </w:r>
      <w:r>
        <w:rPr>
          <w:sz w:val="21"/>
        </w:rPr>
        <w:t xml:space="preserve">A seigniorage schedule fixes ₹8 per square metre of slab and ₹100 per tonne. The ratio means that 1 tonne corresponds to 12.5 square metres, so 1 square metre is 1 ÷ 12.5 = 0.08 tonne. To turn 10,000 square metres into tonnes,</w:t>
      </w:r>
      <w:r>
        <w:rPr>
          <w:sz w:val="21"/>
        </w:rPr>
        <w:t xml:space="preserve"> </w:t>
      </w:r>
      <w:r>
        <w:rPr>
          <w:bCs/>
          <w:b/>
          <w:sz w:val="21"/>
        </w:rPr>
        <w:t xml:space="preserve">divide</w:t>
      </w:r>
      <w:r>
        <w:rPr>
          <w:sz w:val="21"/>
        </w:rPr>
        <w:t xml:space="preserve"> </w:t>
      </w:r>
      <w:r>
        <w:rPr>
          <w:sz w:val="21"/>
        </w:rPr>
        <w:t xml:space="preserve">by 12.5: 800 tonnes. At ₹2,000 per tonne the value is ₹16 lakh. Multiplying by 12.5 instead gives 1,25,000 tonnes and ₹25 crore, an overstatement of 12.5 × 12.5 = 156.25 times. Test every conversion two ways: write the units and see that they cancel, and compare the result with an independent figure such as the royalty actually paid.</w:t>
      </w:r>
    </w:p>
    <w:p>
      <w:pPr>
        <w:pStyle w:val="FirstParagraph"/>
        <w:spacing w:before="0" w:after="120" w:line="269" w:lineRule="auto"/>
        <w:jc w:val="both"/>
      </w:pPr>
      <w:r>
        <w:rPr>
          <w:bCs/>
          <w:b/>
        </w:rPr>
        <w:t xml:space="preserve">(b) Provisions:</w:t>
      </w:r>
      <w:r>
        <w:t xml:space="preserve"> </w:t>
      </w:r>
      <w:r>
        <w:t xml:space="preserve">sections 2(6), 22, 24, 25; section 9(1); section 15 and rules 27 to 31; section [63] or section [73] [74] [74A]; section 50(1); section 122(1)(xi) (only as in A1 para 8.3).</w:t>
      </w:r>
    </w:p>
    <w:p>
      <w:pPr>
        <w:pStyle w:val="BodyText"/>
        <w:spacing w:before="0" w:after="120" w:line="269" w:lineRule="auto"/>
        <w:jc w:val="both"/>
      </w:pPr>
      <w:r>
        <w:rPr>
          <w:bCs/>
          <w:b/>
        </w:rPr>
        <w:t xml:space="preserve">(f) Facts for section 74 / 74A(5)(ii)</w:t>
      </w:r>
      <w:r>
        <w:t xml:space="preserve"> </w:t>
      </w:r>
      <w:r>
        <w:t xml:space="preserve">(only where they exist). Ground:</w:t>
      </w:r>
      <w:r>
        <w:t xml:space="preserve"> </w:t>
      </w:r>
      <w:r>
        <w:rPr>
          <w:bCs/>
          <w:b/>
        </w:rPr>
        <w:t xml:space="preserve">suppression</w:t>
      </w:r>
      <w:r>
        <w:t xml:space="preserve">. The noticee did not obtain registration and filed no return, although its turnover crossed the threshold on [date], so its supplies were never declared. By letters dated [ ] and [ ] (RUD-[ ]), served on [ ], it was asked in writing to furnish [sale records / permits / bank statements], and it did not (Explanation 2 to section [74] [74A]: failure to furnish information asked for in writing). [Further facts showing intent: [it collected tax from buyers / it issued bills without GSTIN / it split the business among relatives to stay below the threshold] (RUD-[ ]).]</w:t>
      </w:r>
    </w:p>
    <w:p>
      <w:pPr>
        <w:pStyle w:val="BlockText"/>
        <w:shd w:val="clear" w:color="auto" w:fill="E7E6E6"/>
      </w:pPr>
      <w:r>
        <w:rPr>
          <w:bCs/>
          <w:b/>
          <w:sz w:val="21"/>
        </w:rPr>
        <w:t xml:space="preserve">(e) Verify before issuing.</w:t>
      </w:r>
      <w:r>
        <w:rPr>
          <w:sz w:val="21"/>
        </w:rPr>
        <w:t xml:space="preserve"> </w:t>
      </w:r>
      <w:r>
        <w:rPr>
          <w:sz w:val="21"/>
        </w:rPr>
        <w:t xml:space="preserve">(1)</w:t>
      </w:r>
      <w:r>
        <w:rPr>
          <w:sz w:val="21"/>
        </w:rPr>
        <w:t xml:space="preserve"> </w:t>
      </w:r>
      <w:r>
        <w:rPr>
          <w:bCs/>
          <w:b/>
          <w:sz w:val="21"/>
        </w:rPr>
        <w:t xml:space="preserve">Route:</w:t>
      </w:r>
      <w:r>
        <w:rPr>
          <w:sz w:val="21"/>
        </w:rPr>
        <w:t xml:space="preserve"> </w:t>
      </w:r>
      <w:r>
        <w:rPr>
          <w:sz w:val="21"/>
        </w:rPr>
        <w:t xml:space="preserve">section 63 permits a best-judgment assessment of a person who failed to register though liable,</w:t>
      </w:r>
      <w:r>
        <w:rPr>
          <w:sz w:val="21"/>
        </w:rPr>
        <w:t xml:space="preserve"> </w:t>
      </w:r>
      <w:r>
        <w:rPr>
          <w:sz w:val="21"/>
        </w:rPr>
        <w:t xml:space="preserve">“</w:t>
      </w:r>
      <w:r>
        <w:rPr>
          <w:sz w:val="21"/>
        </w:rPr>
        <w:t xml:space="preserve">notwithstanding</w:t>
      </w:r>
      <w:r>
        <w:rPr>
          <w:sz w:val="21"/>
        </w:rPr>
        <w:t xml:space="preserve">”</w:t>
      </w:r>
      <w:r>
        <w:rPr>
          <w:sz w:val="21"/>
        </w:rPr>
        <w:t xml:space="preserve"> </w:t>
      </w:r>
      <w:r>
        <w:rPr>
          <w:sz w:val="21"/>
        </w:rPr>
        <w:t xml:space="preserve">sections 73, 74 and 74A, with an order within five years of the annual-return due date and a hearing. If you use section 73, 74 or 74A instead, record why. (2) Prove the threshold</w:t>
      </w:r>
      <w:r>
        <w:rPr>
          <w:sz w:val="21"/>
        </w:rPr>
        <w:t xml:space="preserve"> </w:t>
      </w:r>
      <w:r>
        <w:rPr>
          <w:bCs/>
          <w:b/>
          <w:sz w:val="21"/>
        </w:rPr>
        <w:t xml:space="preserve">year by year</w:t>
      </w:r>
      <w:r>
        <w:rPr>
          <w:sz w:val="21"/>
        </w:rPr>
        <w:t xml:space="preserve">, with the turnover source; drop any year below it unless section 24 applies. Confirm whether Telangana has adopted the ₹40 lakh limit for goods under Notification No. 10/2019-Central Tax before relying on either figure. (3) Value: actual transaction value first; an average or departmental price only with a stated legal basis and the reason actual prices could not be found. (4)</w:t>
      </w:r>
      <w:r>
        <w:rPr>
          <w:sz w:val="21"/>
        </w:rPr>
        <w:t xml:space="preserve"> </w:t>
      </w:r>
      <w:r>
        <w:rPr>
          <w:bCs/>
          <w:b/>
          <w:sz w:val="21"/>
        </w:rPr>
        <w:t xml:space="preserve">Every unit conversion</w:t>
      </w:r>
      <w:r>
        <w:rPr>
          <w:sz w:val="21"/>
        </w:rPr>
        <w:t xml:space="preserve">: source, factor, direction (divide or multiply), and a plausibility check against an independent figure (Table 7B). (5) Enclose the third-party data actually used (lease, dispatch, price and royalty statements), not just the covering letter. (6) Check the State’s records: the State may have acted on the same data (A1 para 1.6). (7) Service: the noticee has no portal access unless a temporary registration or identification number exists (rules 16 and 16A); serve by hand or speed post and e-mail, and record it. (8) Penalty: propose it under the demand section only; add section 122(1)(xi) only if you record why failure to register is a separate act from non-payment (section 75(13)).</w:t>
      </w:r>
    </w:p>
    <w:bookmarkEnd w:id="27"/>
    <w:bookmarkStart w:id="28" w:name="module-8.-rate-or-classification-dispute"/>
    <w:p>
      <w:pPr>
        <w:pStyle w:val="Heading3"/>
        <w:keepNext/>
        <w:spacing w:before="240" w:after="80"/>
        <w:pBdr>
          <w:bottom w:val="single" w:sz="6" w:space="1" w:color="B4C6E7"/>
        </w:pBdr>
      </w:pPr>
      <w:r>
        <w:rPr>
          <w:b/>
          <w:color w:val="1F3864"/>
          <w:sz w:val="25"/>
        </w:rPr>
        <w:t xml:space="preserve">Module 8. Rate or classification dispute</w:t>
      </w:r>
    </w:p>
    <w:p>
      <w:pPr>
        <w:pStyle w:val="FirstParagraph"/>
        <w:spacing w:before="0" w:after="120" w:line="269" w:lineRule="auto"/>
      </w:pPr>
      <w:r>
        <w:rPr>
          <w:bCs/>
          <w:b/>
        </w:rPr>
        <w:t xml:space="preserve">(a) Allegation</w:t>
      </w:r>
    </w:p>
    <w:p>
      <w:pPr>
        <w:pStyle w:val="BodyText"/>
        <w:spacing w:before="0" w:after="120" w:line="269" w:lineRule="auto"/>
        <w:jc w:val="both"/>
      </w:pPr>
      <w:r>
        <w:t xml:space="preserve">3.[n].1 During [period], the noticee supplied [description of the goods or services] (RUD-[ ]: invoices, catalogue, test report, labels, contracts) and paid tax at [ ]% under [heading / tariff item / SAC [ ] and entry [ ] of Notification No. [ ]-Central Tax (Rate)], as declared in GSTR-1 (RUD-[ ]).</w:t>
      </w:r>
    </w:p>
    <w:p>
      <w:pPr>
        <w:pStyle w:val="BodyText"/>
        <w:spacing w:before="0" w:after="120" w:line="269" w:lineRule="auto"/>
        <w:jc w:val="both"/>
      </w:pPr>
      <w:r>
        <w:t xml:space="preserve">3.[n].2</w:t>
      </w:r>
      <w:r>
        <w:t xml:space="preserve"> </w:t>
      </w:r>
      <w:r>
        <w:rPr>
          <w:bCs/>
          <w:b/>
        </w:rPr>
        <w:t xml:space="preserve">Classification.</w:t>
      </w:r>
      <w:r>
        <w:t xml:space="preserve"> </w:t>
      </w:r>
      <w:r>
        <w:t xml:space="preserve">[Goods: Applying the General Rules for the Interpretation of the First Schedule to the Customs Tariff Act, which apply to the rate notification (Explanation (iv) to Notification No. 1/2017-Central Tax (Rate)), in sequence: (i) the terms of heading [ ] and the relevant Section and Chapter Notes [quote] cover the goods because [their composition / form / packaging as sold]; (ii) [Rule 2 or 3 only if Rule 1 does not settle it]; (iii) the HSN Explanatory Notes to heading [ ] say [ ]. The heading claimed by the noticee, [ ], does not apply because [ ].] [Services: the service is [ ], classified under SAC [ ] because [ ]; the noticee’s classification under [ ] does not apply because [ ].]</w:t>
      </w:r>
    </w:p>
    <w:p>
      <w:pPr>
        <w:pStyle w:val="BodyText"/>
        <w:spacing w:before="0" w:after="120" w:line="269" w:lineRule="auto"/>
        <w:jc w:val="both"/>
      </w:pPr>
      <w:r>
        <w:t xml:space="preserve">3.[n].3 The correct rate is [ ]% under entry [ ] of Notification No. [ ]-Central Tax (Rate). Tax already paid at [ ]% is given credit: the differential tax of [ ]% on ₹[ ], that is ₹[ ], is proposed (Table 8). [Where tax was paid under the wrong head (IGST instead of CGST and SGST or the reverse), the noticee may claim refund of the tax paid under the wrong head (section 77; section 19 of the IGST Act); no interest is payable on the CGST and SGST where IGST was paid (section 77(2)).]</w:t>
      </w:r>
    </w:p>
    <w:p>
      <w:pPr>
        <w:pStyle w:val="BodyText"/>
        <w:spacing w:before="0" w:after="120" w:line="269" w:lineRule="auto"/>
      </w:pPr>
      <w:r>
        <w:rPr>
          <w:iCs/>
          <w:i/>
        </w:rPr>
        <w:t xml:space="preserve">Table 8: Differential tax</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62"/>
        <w:gridCol w:w="1377"/>
        <w:gridCol w:w="1147"/>
        <w:gridCol w:w="1147"/>
        <w:gridCol w:w="1377"/>
        <w:gridCol w:w="1377"/>
        <w:gridCol w:w="1951"/>
      </w:tblGrid>
      <w:tr>
        <w:trPr>
          <w:tblHeader w:val="true"/>
          <w:tblHeader/>
        </w:trPr>
        <w:tc>
          <w:tcPr>
            <w:tcW w:type="dxa" w:w="1262"/>
            <w:shd w:val="clear" w:color="auto" w:fill="DCE6F1"/>
          </w:tcPr>
          <w:p>
            <w:pPr>
              <w:pStyle w:val="Compact"/>
              <w:spacing w:before="0" w:after="0" w:line="240" w:lineRule="auto"/>
              <w:jc w:val="left"/>
            </w:pPr>
            <w:r>
              <w:rPr>
                <w:b/>
                <w:color w:val="1F3864"/>
                <w:sz w:val="18"/>
              </w:rPr>
              <w:t xml:space="preserve">Period</w:t>
            </w:r>
          </w:p>
        </w:tc>
        <w:tc>
          <w:tcPr>
            <w:tcW w:type="dxa" w:w="1377"/>
            <w:shd w:val="clear" w:color="auto" w:fill="DCE6F1"/>
          </w:tcPr>
          <w:p>
            <w:pPr>
              <w:pStyle w:val="Compact"/>
              <w:spacing w:before="0" w:after="0" w:line="240" w:lineRule="auto"/>
              <w:jc w:val="left"/>
            </w:pPr>
            <w:r>
              <w:rPr>
                <w:b/>
                <w:color w:val="1F3864"/>
                <w:sz w:val="18"/>
              </w:rPr>
              <w:t xml:space="preserve">Taxable value (₹)</w:t>
            </w:r>
          </w:p>
        </w:tc>
        <w:tc>
          <w:tcPr>
            <w:tcW w:type="dxa" w:w="1147"/>
            <w:shd w:val="clear" w:color="auto" w:fill="DCE6F1"/>
          </w:tcPr>
          <w:p>
            <w:pPr>
              <w:pStyle w:val="Compact"/>
              <w:spacing w:before="0" w:after="0" w:line="240" w:lineRule="auto"/>
              <w:jc w:val="left"/>
            </w:pPr>
            <w:r>
              <w:rPr>
                <w:b/>
                <w:color w:val="1F3864"/>
                <w:sz w:val="18"/>
              </w:rPr>
              <w:t xml:space="preserve">Rate paid</w:t>
            </w:r>
          </w:p>
        </w:tc>
        <w:tc>
          <w:tcPr>
            <w:tcW w:type="dxa" w:w="1147"/>
            <w:shd w:val="clear" w:color="auto" w:fill="DCE6F1"/>
          </w:tcPr>
          <w:p>
            <w:pPr>
              <w:pStyle w:val="Compact"/>
              <w:spacing w:before="0" w:after="0" w:line="240" w:lineRule="auto"/>
              <w:jc w:val="left"/>
            </w:pPr>
            <w:r>
              <w:rPr>
                <w:b/>
                <w:color w:val="1F3864"/>
                <w:sz w:val="18"/>
              </w:rPr>
              <w:t xml:space="preserve">Tax paid (₹)</w:t>
            </w:r>
          </w:p>
        </w:tc>
        <w:tc>
          <w:tcPr>
            <w:tcW w:type="dxa" w:w="1377"/>
            <w:shd w:val="clear" w:color="auto" w:fill="DCE6F1"/>
          </w:tcPr>
          <w:p>
            <w:pPr>
              <w:pStyle w:val="Compact"/>
              <w:spacing w:before="0" w:after="0" w:line="240" w:lineRule="auto"/>
              <w:jc w:val="left"/>
            </w:pPr>
            <w:r>
              <w:rPr>
                <w:b/>
                <w:color w:val="1F3864"/>
                <w:sz w:val="18"/>
              </w:rPr>
              <w:t xml:space="preserve">Correct rate</w:t>
            </w:r>
          </w:p>
        </w:tc>
        <w:tc>
          <w:tcPr>
            <w:tcW w:type="dxa" w:w="1377"/>
            <w:shd w:val="clear" w:color="auto" w:fill="DCE6F1"/>
          </w:tcPr>
          <w:p>
            <w:pPr>
              <w:pStyle w:val="Compact"/>
              <w:spacing w:before="0" w:after="0" w:line="240" w:lineRule="auto"/>
              <w:jc w:val="left"/>
            </w:pPr>
            <w:r>
              <w:rPr>
                <w:b/>
                <w:color w:val="1F3864"/>
                <w:sz w:val="18"/>
              </w:rPr>
              <w:t xml:space="preserve">Tax payable (₹)</w:t>
            </w:r>
          </w:p>
        </w:tc>
        <w:tc>
          <w:tcPr>
            <w:tcW w:type="dxa" w:w="1951"/>
            <w:shd w:val="clear" w:color="auto" w:fill="DCE6F1"/>
          </w:tcPr>
          <w:p>
            <w:pPr>
              <w:pStyle w:val="Compact"/>
              <w:spacing w:before="0" w:after="0" w:line="240" w:lineRule="auto"/>
              <w:jc w:val="left"/>
            </w:pPr>
            <w:r>
              <w:rPr>
                <w:b/>
                <w:color w:val="1F3864"/>
                <w:sz w:val="18"/>
              </w:rPr>
              <w:t xml:space="preserve">Differential (₹)</w:t>
            </w:r>
          </w:p>
        </w:tc>
      </w:tr>
      <w:tr>
        <w:tc>
          <w:tcPr>
            <w:tcW w:type="dxa" w:w="1262"/>
          </w:tcPr>
          <w:p>
            <w:pPr>
              <w:pStyle w:val="Compact"/>
              <w:spacing w:before="0" w:after="0" w:line="240" w:lineRule="auto"/>
              <w:jc w:val="left"/>
            </w:pPr>
            <w:r>
              <w:rPr>
                <w:sz w:val="18"/>
              </w:rPr>
              <w:t xml:space="preserve">[ ]</w:t>
            </w:r>
          </w:p>
        </w:tc>
        <w:tc>
          <w:tcPr>
            <w:tcW w:type="dxa" w:w="1377"/>
          </w:tcPr>
          <w:p>
            <w:pPr>
              <w:pStyle w:val="Compact"/>
              <w:spacing w:before="0" w:after="0" w:line="240" w:lineRule="auto"/>
              <w:jc w:val="left"/>
            </w:pPr>
            <w:r>
              <w:rPr>
                <w:sz w:val="18"/>
              </w:rPr>
              <w:t xml:space="preserve">[ ]</w:t>
            </w:r>
          </w:p>
        </w:tc>
        <w:tc>
          <w:tcPr>
            <w:tcW w:type="dxa" w:w="1147"/>
          </w:tcPr>
          <w:p>
            <w:pPr>
              <w:pStyle w:val="Compact"/>
              <w:spacing w:before="0" w:after="0" w:line="240" w:lineRule="auto"/>
              <w:jc w:val="left"/>
            </w:pPr>
            <w:r>
              <w:rPr>
                <w:sz w:val="18"/>
              </w:rPr>
              <w:t xml:space="preserve">[ ]%</w:t>
            </w:r>
          </w:p>
        </w:tc>
        <w:tc>
          <w:tcPr>
            <w:tcW w:type="dxa" w:w="1147"/>
          </w:tcPr>
          <w:p>
            <w:pPr>
              <w:pStyle w:val="Compact"/>
              <w:spacing w:before="0" w:after="0" w:line="240" w:lineRule="auto"/>
              <w:jc w:val="left"/>
            </w:pPr>
            <w:r>
              <w:rPr>
                <w:sz w:val="18"/>
              </w:rPr>
              <w:t xml:space="preserve">[ ]</w:t>
            </w:r>
          </w:p>
        </w:tc>
        <w:tc>
          <w:tcPr>
            <w:tcW w:type="dxa" w:w="1377"/>
          </w:tcPr>
          <w:p>
            <w:pPr>
              <w:pStyle w:val="Compact"/>
              <w:spacing w:before="0" w:after="0" w:line="240" w:lineRule="auto"/>
              <w:jc w:val="left"/>
            </w:pPr>
            <w:r>
              <w:rPr>
                <w:sz w:val="18"/>
              </w:rPr>
              <w:t xml:space="preserve">[ ]%</w:t>
            </w:r>
          </w:p>
        </w:tc>
        <w:tc>
          <w:tcPr>
            <w:tcW w:type="dxa" w:w="1377"/>
          </w:tcPr>
          <w:p>
            <w:pPr>
              <w:pStyle w:val="Compact"/>
              <w:spacing w:before="0" w:after="0" w:line="240" w:lineRule="auto"/>
              <w:jc w:val="left"/>
            </w:pPr>
            <w:r>
              <w:rPr>
                <w:sz w:val="18"/>
              </w:rPr>
              <w:t xml:space="preserve">[ ]</w:t>
            </w:r>
          </w:p>
        </w:tc>
        <w:tc>
          <w:tcPr>
            <w:tcW w:type="dxa" w:w="1951"/>
          </w:tcPr>
          <w:p>
            <w:pPr>
              <w:pStyle w:val="Compact"/>
              <w:spacing w:before="0" w:after="0" w:line="240" w:lineRule="auto"/>
              <w:jc w:val="left"/>
            </w:pPr>
            <w:r>
              <w:rPr>
                <w:sz w:val="18"/>
              </w:rPr>
              <w:t xml:space="preserve">[ ]</w:t>
            </w:r>
          </w:p>
        </w:tc>
      </w:tr>
    </w:tbl>
    <w:p>
      <w:pPr>
        <w:pStyle w:val="BodyText"/>
        <w:spacing w:before="0" w:after="120" w:line="269" w:lineRule="auto"/>
      </w:pPr>
      <w:r>
        <w:rPr>
          <w:bCs/>
          <w:b/>
        </w:rPr>
        <w:t xml:space="preserve">(b) Provisions:</w:t>
      </w:r>
      <w:r>
        <w:t xml:space="preserve"> </w:t>
      </w:r>
      <w:r>
        <w:t xml:space="preserve">section 9(1); the rate notification entries; section [73] [74A]; section 50(1).</w:t>
      </w:r>
    </w:p>
    <w:p>
      <w:pPr>
        <w:pStyle w:val="BlockText"/>
        <w:shd w:val="clear" w:color="auto" w:fill="E7E6E6"/>
      </w:pPr>
      <w:r>
        <w:rPr>
          <w:bCs/>
          <w:b/>
          <w:sz w:val="21"/>
        </w:rPr>
        <w:t xml:space="preserve">(e) Verify before issuing.</w:t>
      </w:r>
      <w:r>
        <w:rPr>
          <w:sz w:val="21"/>
        </w:rPr>
        <w:t xml:space="preserve"> </w:t>
      </w:r>
      <w:r>
        <w:rPr>
          <w:sz w:val="21"/>
        </w:rPr>
        <w:t xml:space="preserve">(1) Reason through the interpretation rules in order, starting with the heading and the notes; classification goes by the form in which the goods are sold, not their end use. The burden of classifying is on the department. (2) Product evidence: test report, catalogue, labels, photographs. (3) Demand only the differential; credit tax already paid. (4)</w:t>
      </w:r>
      <w:r>
        <w:rPr>
          <w:sz w:val="21"/>
        </w:rPr>
        <w:t xml:space="preserve"> </w:t>
      </w:r>
      <w:r>
        <w:rPr>
          <w:bCs/>
          <w:b/>
          <w:sz w:val="21"/>
        </w:rPr>
        <w:t xml:space="preserve">No section 74 / 74A(5)(ii)</w:t>
      </w:r>
      <w:r>
        <w:rPr>
          <w:sz w:val="21"/>
        </w:rPr>
        <w:t xml:space="preserve"> </w:t>
      </w:r>
      <w:r>
        <w:rPr>
          <w:sz w:val="21"/>
        </w:rPr>
        <w:t xml:space="preserve">where the noticee disclosed the HSN and rate in its invoices and returns: a disclosed classification view is not suppression (</w:t>
      </w:r>
      <w:r>
        <w:rPr>
          <w:iCs/>
          <w:i/>
          <w:sz w:val="21"/>
        </w:rPr>
        <w:t xml:space="preserve">G.R. Infra Projects Ratlam</w:t>
      </w:r>
      <w:r>
        <w:rPr>
          <w:sz w:val="21"/>
        </w:rPr>
        <w:t xml:space="preserve">, Supreme Court, 19.08.2026). (5) Where a practice was followed by the trade and the department alike, record whether a reference to the Board (GST Policy Wing / TRU) was considered. (6) Check for any circular or binding Telangana High Court or Supreme Court ruling on the product, and read any classification ruling before citing it. (7) The rate notifications are not in the project library: read the current text of the entry and of the Explanation applying the interpretation rules before quoting them.</w:t>
      </w:r>
    </w:p>
    <w:bookmarkEnd w:id="28"/>
    <w:bookmarkStart w:id="29" w:name="X11d71c42211f27d342abe84ec6670fa8a42980d"/>
    <w:p>
      <w:pPr>
        <w:pStyle w:val="Heading3"/>
        <w:keepNext/>
        <w:spacing w:before="240" w:after="80"/>
        <w:pBdr>
          <w:bottom w:val="single" w:sz="6" w:space="1" w:color="B4C6E7"/>
        </w:pBdr>
      </w:pPr>
      <w:r>
        <w:rPr>
          <w:b/>
          <w:color w:val="1F3864"/>
          <w:sz w:val="25"/>
        </w:rPr>
        <w:t xml:space="preserve">Module 9. Blocked credit under section 17(5)</w:t>
      </w:r>
    </w:p>
    <w:p>
      <w:pPr>
        <w:pStyle w:val="FirstParagraph"/>
        <w:spacing w:before="0" w:after="120" w:line="269" w:lineRule="auto"/>
      </w:pPr>
      <w:r>
        <w:rPr>
          <w:bCs/>
          <w:b/>
        </w:rPr>
        <w:t xml:space="preserve">(a) Allegation</w:t>
      </w:r>
    </w:p>
    <w:p>
      <w:pPr>
        <w:pStyle w:val="BodyText"/>
        <w:spacing w:before="0" w:after="120" w:line="269" w:lineRule="auto"/>
        <w:jc w:val="both"/>
      </w:pPr>
      <w:r>
        <w:t xml:space="preserve">3.[n].1 During [period], the noticee availed credit of ₹[ ] on [description of the inward supplies: e.g. </w:t>
      </w:r>
      <w:r>
        <w:t xml:space="preserve">“</w:t>
      </w:r>
      <w:r>
        <w:t xml:space="preserve">construction of an office building</w:t>
      </w:r>
      <w:r>
        <w:t xml:space="preserve">”</w:t>
      </w:r>
      <w:r>
        <w:t xml:space="preserve">,</w:t>
      </w:r>
      <w:r>
        <w:t xml:space="preserve"> </w:t>
      </w:r>
      <w:r>
        <w:t xml:space="preserve">“</w:t>
      </w:r>
      <w:r>
        <w:t xml:space="preserve">motor cars used by directors</w:t>
      </w:r>
      <w:r>
        <w:t xml:space="preserve">”</w:t>
      </w:r>
      <w:r>
        <w:t xml:space="preserve">,</w:t>
      </w:r>
      <w:r>
        <w:t xml:space="preserve"> </w:t>
      </w:r>
      <w:r>
        <w:t xml:space="preserve">“</w:t>
      </w:r>
      <w:r>
        <w:t xml:space="preserve">outdoor catering for staff</w:t>
      </w:r>
      <w:r>
        <w:t xml:space="preserve">”</w:t>
      </w:r>
      <w:r>
        <w:t xml:space="preserve">], as shown in Table 9 from its purchase register and ledger [fixed-asset register] (RUD-[ ]).</w:t>
      </w:r>
    </w:p>
    <w:p>
      <w:pPr>
        <w:pStyle w:val="BodyText"/>
        <w:spacing w:before="0" w:after="120" w:line="269" w:lineRule="auto"/>
        <w:jc w:val="both"/>
      </w:pPr>
      <w:r>
        <w:t xml:space="preserve">3.[n].2 Under section 17(5)([clause]), credit is not available on [quote the clause]. [The exception in [the proviso / the clause] does not apply because [the vehicle is not used for the purposes listed / the outward supply is not of the same category / the employer is not obliged by law to provide it / the construction is of a building, not</w:t>
      </w:r>
      <w:r>
        <w:t xml:space="preserve"> </w:t>
      </w:r>
      <w:r>
        <w:t xml:space="preserve">“</w:t>
      </w:r>
      <w:r>
        <w:t xml:space="preserve">plant and machinery</w:t>
      </w:r>
      <w:r>
        <w:t xml:space="preserve">”</w:t>
      </w:r>
      <w:r>
        <w:t xml:space="preserve"> </w:t>
      </w:r>
      <w:r>
        <w:t xml:space="preserve">as defined in the Explanation to section 17].] The credit was [not reversed in Table 4(B)(1) of GSTR-3B (see Circular No. 170/02/2022-GST on reporting blocked credit)] / [reversed only to the extent of ₹[ ]].</w:t>
      </w:r>
    </w:p>
    <w:p>
      <w:pPr>
        <w:pStyle w:val="BodyText"/>
        <w:spacing w:before="0" w:after="120" w:line="269" w:lineRule="auto"/>
        <w:jc w:val="both"/>
      </w:pPr>
      <w:r>
        <w:t xml:space="preserve">3.[n].3 Credit of ₹[ ] therefore appears to have been wrongly availed [and utilised] in contravention of section 17(5)([clause]).</w:t>
      </w:r>
    </w:p>
    <w:p>
      <w:pPr>
        <w:pStyle w:val="BodyText"/>
        <w:spacing w:before="0" w:after="120" w:line="269" w:lineRule="auto"/>
      </w:pPr>
      <w:r>
        <w:rPr>
          <w:iCs/>
          <w:i/>
        </w:rPr>
        <w:t xml:space="preserve">Table 9: Blocked credit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35"/>
        <w:gridCol w:w="1338"/>
        <w:gridCol w:w="1646"/>
        <w:gridCol w:w="1612"/>
        <w:gridCol w:w="1132"/>
        <w:gridCol w:w="1338"/>
        <w:gridCol w:w="1338"/>
      </w:tblGrid>
      <w:tr>
        <w:trPr>
          <w:tblHeader w:val="true"/>
          <w:tblHeader/>
        </w:trPr>
        <w:tc>
          <w:tcPr>
            <w:tcW w:type="dxa" w:w="1235"/>
            <w:shd w:val="clear" w:color="auto" w:fill="DCE6F1"/>
          </w:tcPr>
          <w:p>
            <w:pPr>
              <w:pStyle w:val="Compact"/>
              <w:spacing w:before="0" w:after="0" w:line="240" w:lineRule="auto"/>
              <w:jc w:val="left"/>
            </w:pPr>
            <w:r>
              <w:rPr>
                <w:b/>
                <w:color w:val="1F3864"/>
                <w:sz w:val="18"/>
              </w:rPr>
              <w:t xml:space="preserve">Invoice (No., date)</w:t>
            </w:r>
          </w:p>
        </w:tc>
        <w:tc>
          <w:tcPr>
            <w:tcW w:type="dxa" w:w="1338"/>
            <w:shd w:val="clear" w:color="auto" w:fill="DCE6F1"/>
          </w:tcPr>
          <w:p>
            <w:pPr>
              <w:pStyle w:val="Compact"/>
              <w:spacing w:before="0" w:after="0" w:line="240" w:lineRule="auto"/>
              <w:jc w:val="left"/>
            </w:pPr>
            <w:r>
              <w:rPr>
                <w:b/>
                <w:color w:val="1F3864"/>
                <w:sz w:val="18"/>
              </w:rPr>
              <w:t xml:space="preserve">Supplier</w:t>
            </w:r>
          </w:p>
        </w:tc>
        <w:tc>
          <w:tcPr>
            <w:tcW w:type="dxa" w:w="1646"/>
            <w:shd w:val="clear" w:color="auto" w:fill="DCE6F1"/>
          </w:tcPr>
          <w:p>
            <w:pPr>
              <w:pStyle w:val="Compact"/>
              <w:spacing w:before="0" w:after="0" w:line="240" w:lineRule="auto"/>
              <w:jc w:val="left"/>
            </w:pPr>
            <w:r>
              <w:rPr>
                <w:b/>
                <w:color w:val="1F3864"/>
                <w:sz w:val="18"/>
              </w:rPr>
              <w:t xml:space="preserve">Description</w:t>
            </w:r>
          </w:p>
        </w:tc>
        <w:tc>
          <w:tcPr>
            <w:tcW w:type="dxa" w:w="1612"/>
            <w:shd w:val="clear" w:color="auto" w:fill="DCE6F1"/>
          </w:tcPr>
          <w:p>
            <w:pPr>
              <w:pStyle w:val="Compact"/>
              <w:spacing w:before="0" w:after="0" w:line="240" w:lineRule="auto"/>
              <w:jc w:val="left"/>
            </w:pPr>
            <w:r>
              <w:rPr>
                <w:b/>
                <w:color w:val="1F3864"/>
                <w:sz w:val="18"/>
              </w:rPr>
              <w:t xml:space="preserve">Clause of s.17(5)</w:t>
            </w:r>
          </w:p>
        </w:tc>
        <w:tc>
          <w:tcPr>
            <w:tcW w:type="dxa" w:w="1132"/>
            <w:shd w:val="clear" w:color="auto" w:fill="DCE6F1"/>
          </w:tcPr>
          <w:p>
            <w:pPr>
              <w:pStyle w:val="Compact"/>
              <w:spacing w:before="0" w:after="0" w:line="240" w:lineRule="auto"/>
              <w:jc w:val="left"/>
            </w:pPr>
            <w:r>
              <w:rPr>
                <w:b/>
                <w:color w:val="1F3864"/>
                <w:sz w:val="18"/>
              </w:rPr>
              <w:t xml:space="preserve">Credit (₹)</w:t>
            </w:r>
          </w:p>
        </w:tc>
        <w:tc>
          <w:tcPr>
            <w:tcW w:type="dxa" w:w="1338"/>
            <w:shd w:val="clear" w:color="auto" w:fill="DCE6F1"/>
          </w:tcPr>
          <w:p>
            <w:pPr>
              <w:pStyle w:val="Compact"/>
              <w:spacing w:before="0" w:after="0" w:line="240" w:lineRule="auto"/>
              <w:jc w:val="left"/>
            </w:pPr>
            <w:r>
              <w:rPr>
                <w:b/>
                <w:color w:val="1F3864"/>
                <w:sz w:val="18"/>
              </w:rPr>
              <w:t xml:space="preserve">Reversed (₹)</w:t>
            </w:r>
          </w:p>
        </w:tc>
        <w:tc>
          <w:tcPr>
            <w:tcW w:type="dxa" w:w="1338"/>
            <w:shd w:val="clear" w:color="auto" w:fill="DCE6F1"/>
          </w:tcPr>
          <w:p>
            <w:pPr>
              <w:pStyle w:val="Compact"/>
              <w:spacing w:before="0" w:after="0" w:line="240" w:lineRule="auto"/>
              <w:jc w:val="left"/>
            </w:pPr>
            <w:r>
              <w:rPr>
                <w:b/>
                <w:color w:val="1F3864"/>
                <w:sz w:val="18"/>
              </w:rPr>
              <w:t xml:space="preserve">Proposed (₹)</w:t>
            </w:r>
          </w:p>
        </w:tc>
      </w:tr>
      <w:tr>
        <w:tc>
          <w:tcPr>
            <w:tcW w:type="dxa" w:w="1235"/>
          </w:tcPr>
          <w:p>
            <w:pPr>
              <w:pStyle w:val="Compact"/>
              <w:spacing w:before="0" w:after="0" w:line="240" w:lineRule="auto"/>
              <w:jc w:val="left"/>
            </w:pPr>
            <w:r>
              <w:rPr>
                <w:sz w:val="18"/>
              </w:rPr>
              <w:t xml:space="preserve">[ ]</w:t>
            </w:r>
          </w:p>
        </w:tc>
        <w:tc>
          <w:tcPr>
            <w:tcW w:type="dxa" w:w="1338"/>
          </w:tcPr>
          <w:p>
            <w:pPr>
              <w:pStyle w:val="Compact"/>
              <w:spacing w:before="0" w:after="0" w:line="240" w:lineRule="auto"/>
              <w:jc w:val="left"/>
            </w:pPr>
            <w:r>
              <w:rPr>
                <w:sz w:val="18"/>
              </w:rPr>
              <w:t xml:space="preserve">[ ]</w:t>
            </w:r>
          </w:p>
        </w:tc>
        <w:tc>
          <w:tcPr>
            <w:tcW w:type="dxa" w:w="1646"/>
          </w:tcPr>
          <w:p>
            <w:pPr>
              <w:pStyle w:val="Compact"/>
              <w:spacing w:before="0" w:after="0" w:line="240" w:lineRule="auto"/>
              <w:jc w:val="left"/>
            </w:pPr>
            <w:r>
              <w:rPr>
                <w:sz w:val="18"/>
              </w:rPr>
              <w:t xml:space="preserve">[ ]</w:t>
            </w:r>
          </w:p>
        </w:tc>
        <w:tc>
          <w:tcPr>
            <w:tcW w:type="dxa" w:w="1612"/>
          </w:tcPr>
          <w:p>
            <w:pPr>
              <w:pStyle w:val="Compact"/>
              <w:spacing w:before="0" w:after="0" w:line="240" w:lineRule="auto"/>
              <w:jc w:val="left"/>
            </w:pPr>
            <w:r>
              <w:rPr>
                <w:sz w:val="18"/>
              </w:rPr>
              <w:t xml:space="preserve">[(a) / (b)(i) / (c) / (d) / …]</w:t>
            </w:r>
          </w:p>
        </w:tc>
        <w:tc>
          <w:tcPr>
            <w:tcW w:type="dxa" w:w="1132"/>
          </w:tcPr>
          <w:p>
            <w:pPr>
              <w:pStyle w:val="Compact"/>
              <w:spacing w:before="0" w:after="0" w:line="240" w:lineRule="auto"/>
              <w:jc w:val="left"/>
            </w:pPr>
            <w:r>
              <w:rPr>
                <w:sz w:val="18"/>
              </w:rPr>
              <w:t xml:space="preserve">[ ]</w:t>
            </w:r>
          </w:p>
        </w:tc>
        <w:tc>
          <w:tcPr>
            <w:tcW w:type="dxa" w:w="1338"/>
          </w:tcPr>
          <w:p>
            <w:pPr>
              <w:pStyle w:val="Compact"/>
              <w:spacing w:before="0" w:after="0" w:line="240" w:lineRule="auto"/>
              <w:jc w:val="left"/>
            </w:pPr>
            <w:r>
              <w:rPr>
                <w:sz w:val="18"/>
              </w:rPr>
              <w:t xml:space="preserve">[ ]</w:t>
            </w:r>
          </w:p>
        </w:tc>
        <w:tc>
          <w:tcPr>
            <w:tcW w:type="dxa" w:w="1338"/>
          </w:tcPr>
          <w:p>
            <w:pPr>
              <w:pStyle w:val="Compact"/>
              <w:spacing w:before="0" w:after="0" w:line="240" w:lineRule="auto"/>
              <w:jc w:val="left"/>
            </w:pPr>
            <w:r>
              <w:rPr>
                <w:sz w:val="18"/>
              </w:rPr>
              <w:t xml:space="preserve">[ ]</w:t>
            </w:r>
          </w:p>
        </w:tc>
      </w:tr>
      <w:tr>
        <w:tc>
          <w:tcPr>
            <w:tcW w:type="dxa" w:w="1235"/>
            <w:shd w:val="clear" w:color="auto" w:fill="F2F2F2"/>
          </w:tcPr>
          <w:p>
            <w:pPr>
              <w:pStyle w:val="Compact"/>
              <w:spacing w:before="0" w:after="0" w:line="240" w:lineRule="auto"/>
              <w:jc w:val="left"/>
            </w:pPr>
            <w:r>
              <w:rPr>
                <w:sz w:val="18"/>
              </w:rPr>
              <w:t xml:space="preserve">Total</w:t>
            </w:r>
          </w:p>
        </w:tc>
        <w:tc>
          <w:tcPr>
            <w:tcW w:type="dxa" w:w="1338"/>
            <w:shd w:val="clear" w:color="auto" w:fill="F2F2F2"/>
          </w:tcPr>
          <w:p>
            <w:pPr>
              <w:pStyle w:val="Compact"/>
              <w:spacing w:before="0" w:after="0" w:line="240" w:lineRule="auto"/>
            </w:pPr>
          </w:p>
        </w:tc>
        <w:tc>
          <w:tcPr>
            <w:tcW w:type="dxa" w:w="1646"/>
            <w:shd w:val="clear" w:color="auto" w:fill="F2F2F2"/>
          </w:tcPr>
          <w:p>
            <w:pPr>
              <w:pStyle w:val="Compact"/>
              <w:spacing w:before="0" w:after="0" w:line="240" w:lineRule="auto"/>
            </w:pPr>
          </w:p>
        </w:tc>
        <w:tc>
          <w:tcPr>
            <w:tcW w:type="dxa" w:w="1612"/>
            <w:shd w:val="clear" w:color="auto" w:fill="F2F2F2"/>
          </w:tcPr>
          <w:p>
            <w:pPr>
              <w:pStyle w:val="Compact"/>
              <w:spacing w:before="0" w:after="0" w:line="240" w:lineRule="auto"/>
            </w:pPr>
          </w:p>
        </w:tc>
        <w:tc>
          <w:tcPr>
            <w:tcW w:type="dxa" w:w="1132"/>
            <w:shd w:val="clear" w:color="auto" w:fill="F2F2F2"/>
          </w:tcPr>
          <w:p>
            <w:pPr>
              <w:pStyle w:val="Compact"/>
              <w:spacing w:before="0" w:after="0" w:line="240" w:lineRule="auto"/>
              <w:jc w:val="left"/>
            </w:pPr>
            <w:r>
              <w:rPr>
                <w:sz w:val="18"/>
              </w:rPr>
              <w:t xml:space="preserve">[ ]</w:t>
            </w:r>
          </w:p>
        </w:tc>
        <w:tc>
          <w:tcPr>
            <w:tcW w:type="dxa" w:w="1338"/>
            <w:shd w:val="clear" w:color="auto" w:fill="F2F2F2"/>
          </w:tcPr>
          <w:p>
            <w:pPr>
              <w:pStyle w:val="Compact"/>
              <w:spacing w:before="0" w:after="0" w:line="240" w:lineRule="auto"/>
              <w:jc w:val="left"/>
            </w:pPr>
            <w:r>
              <w:rPr>
                <w:sz w:val="18"/>
              </w:rPr>
              <w:t xml:space="preserve">[ ]</w:t>
            </w:r>
          </w:p>
        </w:tc>
        <w:tc>
          <w:tcPr>
            <w:tcW w:type="dxa" w:w="1338"/>
            <w:shd w:val="clear" w:color="auto" w:fill="F2F2F2"/>
          </w:tcPr>
          <w:p>
            <w:pPr>
              <w:pStyle w:val="Compact"/>
              <w:spacing w:before="0" w:after="0" w:line="240" w:lineRule="auto"/>
              <w:jc w:val="left"/>
            </w:pPr>
            <w:r>
              <w:rPr>
                <w:sz w:val="18"/>
              </w:rPr>
              <w:t xml:space="preserve">[ ]</w:t>
            </w:r>
          </w:p>
        </w:tc>
      </w:tr>
    </w:tbl>
    <w:p>
      <w:pPr>
        <w:pStyle w:val="BodyText"/>
        <w:spacing w:before="0" w:after="120" w:line="269" w:lineRule="auto"/>
      </w:pPr>
      <w:r>
        <w:rPr>
          <w:bCs/>
          <w:b/>
        </w:rPr>
        <w:t xml:space="preserve">(b) Provisions:</w:t>
      </w:r>
      <w:r>
        <w:t xml:space="preserve"> </w:t>
      </w:r>
      <w:r>
        <w:t xml:space="preserve">section 17(5) and its Explanations; section [73] [74A]; section 50(3).</w:t>
      </w:r>
    </w:p>
    <w:p>
      <w:pPr>
        <w:pStyle w:val="BlockText"/>
        <w:shd w:val="clear" w:color="auto" w:fill="E7E6E6"/>
      </w:pPr>
      <w:r>
        <w:rPr>
          <w:bCs/>
          <w:b/>
          <w:sz w:val="21"/>
        </w:rPr>
        <w:t xml:space="preserve">(e) Verify before issuing.</w:t>
      </w:r>
      <w:r>
        <w:rPr>
          <w:sz w:val="21"/>
        </w:rPr>
        <w:t xml:space="preserve"> </w:t>
      </w:r>
      <w:r>
        <w:rPr>
          <w:sz w:val="21"/>
        </w:rPr>
        <w:t xml:space="preserve">(1) Identify the clause and test each exception on facts (use, nature of outward supply, legal obligation). (2) For clauses (c) and (d), apply the definition of</w:t>
      </w:r>
      <w:r>
        <w:rPr>
          <w:sz w:val="21"/>
        </w:rPr>
        <w:t xml:space="preserve"> </w:t>
      </w:r>
      <w:r>
        <w:rPr>
          <w:sz w:val="21"/>
        </w:rPr>
        <w:t xml:space="preserve">“</w:t>
      </w:r>
      <w:r>
        <w:rPr>
          <w:sz w:val="21"/>
        </w:rPr>
        <w:t xml:space="preserve">plant and machinery</w:t>
      </w:r>
      <w:r>
        <w:rPr>
          <w:sz w:val="21"/>
        </w:rPr>
        <w:t xml:space="preserve">”</w:t>
      </w:r>
      <w:r>
        <w:rPr>
          <w:sz w:val="21"/>
        </w:rPr>
        <w:t xml:space="preserve"> </w:t>
      </w:r>
      <w:r>
        <w:rPr>
          <w:sz w:val="21"/>
        </w:rPr>
        <w:t xml:space="preserve">and Explanation 2 to clause (d) (</w:t>
      </w:r>
      <w:r>
        <w:rPr>
          <w:sz w:val="21"/>
        </w:rPr>
        <w:t xml:space="preserve">“</w:t>
      </w:r>
      <w:r>
        <w:rPr>
          <w:sz w:val="21"/>
        </w:rPr>
        <w:t xml:space="preserve">plant or machinery</w:t>
      </w:r>
      <w:r>
        <w:rPr>
          <w:sz w:val="21"/>
        </w:rPr>
        <w:t xml:space="preserve">”</w:t>
      </w:r>
      <w:r>
        <w:rPr>
          <w:sz w:val="21"/>
        </w:rPr>
        <w:t xml:space="preserve"> </w:t>
      </w:r>
      <w:r>
        <w:rPr>
          <w:sz w:val="21"/>
        </w:rPr>
        <w:t xml:space="preserve">to be read as</w:t>
      </w:r>
      <w:r>
        <w:rPr>
          <w:sz w:val="21"/>
        </w:rPr>
        <w:t xml:space="preserve"> </w:t>
      </w:r>
      <w:r>
        <w:rPr>
          <w:sz w:val="21"/>
        </w:rPr>
        <w:t xml:space="preserve">“</w:t>
      </w:r>
      <w:r>
        <w:rPr>
          <w:sz w:val="21"/>
        </w:rPr>
        <w:t xml:space="preserve">plant and machinery</w:t>
      </w:r>
      <w:r>
        <w:rPr>
          <w:sz w:val="21"/>
        </w:rPr>
        <w:t xml:space="preserve">”</w:t>
      </w:r>
      <w:r>
        <w:rPr>
          <w:sz w:val="21"/>
        </w:rPr>
        <w:t xml:space="preserve">, with retrospective effect: read the current text).</w:t>
      </w:r>
      <w:r>
        <w:rPr>
          <w:sz w:val="21"/>
        </w:rPr>
        <w:t xml:space="preserve"> </w:t>
      </w:r>
      <w:r>
        <w:rPr>
          <w:sz w:val="21"/>
        </w:rPr>
        <w:t xml:space="preserve">“</w:t>
      </w:r>
      <w:r>
        <w:rPr>
          <w:sz w:val="21"/>
        </w:rPr>
        <w:t xml:space="preserve">Construction</w:t>
      </w:r>
      <w:r>
        <w:rPr>
          <w:sz w:val="21"/>
        </w:rPr>
        <w:t xml:space="preserve">”</w:t>
      </w:r>
      <w:r>
        <w:rPr>
          <w:sz w:val="21"/>
        </w:rPr>
        <w:t xml:space="preserve"> </w:t>
      </w:r>
      <w:r>
        <w:rPr>
          <w:sz w:val="21"/>
        </w:rPr>
        <w:t xml:space="preserve">includes repairs only to the extent capitalised (Explanation 1). (3) Credit reversals already made are deducted. (4) Section 74 is not invoked for a claim the noticee disclosed in its books and returns, unless there are facts of concealment.</w:t>
      </w:r>
    </w:p>
    <w:bookmarkEnd w:id="29"/>
    <w:bookmarkStart w:id="30" w:name="X2ce281092c4850493fc2b5ca37ba400a2163d1c"/>
    <w:p>
      <w:pPr>
        <w:pStyle w:val="Heading3"/>
        <w:keepNext/>
        <w:spacing w:before="240" w:after="80"/>
        <w:pBdr>
          <w:bottom w:val="single" w:sz="6" w:space="1" w:color="B4C6E7"/>
        </w:pBdr>
      </w:pPr>
      <w:r>
        <w:rPr>
          <w:b/>
          <w:color w:val="1F3864"/>
          <w:sz w:val="25"/>
        </w:rPr>
        <w:t xml:space="preserve">Module 10. Late fee and interest: what is and is not demanded in a section 73 / 74 / 74A notice</w:t>
      </w:r>
    </w:p>
    <w:p>
      <w:pPr>
        <w:pStyle w:val="BlockText"/>
        <w:shd w:val="clear" w:color="auto" w:fill="E7E6E6"/>
      </w:pPr>
      <w:r>
        <w:rPr>
          <w:bCs/>
          <w:b/>
          <w:sz w:val="21"/>
        </w:rPr>
        <w:t xml:space="preserve">(a) The rule.</w:t>
      </w:r>
      <w:r>
        <w:rPr>
          <w:sz w:val="21"/>
        </w:rPr>
        <w:t xml:space="preserve"> </w:t>
      </w:r>
      <w:r>
        <w:rPr>
          <w:sz w:val="21"/>
        </w:rPr>
        <w:t xml:space="preserve">Sections 73, 74 and 74A provide for the determination of</w:t>
      </w:r>
      <w:r>
        <w:rPr>
          <w:sz w:val="21"/>
        </w:rPr>
        <w:t xml:space="preserve"> </w:t>
      </w:r>
      <w:r>
        <w:rPr>
          <w:bCs/>
          <w:b/>
          <w:sz w:val="21"/>
        </w:rPr>
        <w:t xml:space="preserve">tax</w:t>
      </w:r>
      <w:r>
        <w:rPr>
          <w:sz w:val="21"/>
        </w:rPr>
        <w:t xml:space="preserve"> </w:t>
      </w:r>
      <w:r>
        <w:rPr>
          <w:sz w:val="21"/>
        </w:rPr>
        <w:t xml:space="preserve">not paid or short paid, tax erroneously refunded, or</w:t>
      </w:r>
      <w:r>
        <w:rPr>
          <w:sz w:val="21"/>
        </w:rPr>
        <w:t xml:space="preserve"> </w:t>
      </w:r>
      <w:r>
        <w:rPr>
          <w:bCs/>
          <w:b/>
          <w:sz w:val="21"/>
        </w:rPr>
        <w:t xml:space="preserve">input tax credit</w:t>
      </w:r>
      <w:r>
        <w:rPr>
          <w:sz w:val="21"/>
        </w:rPr>
        <w:t xml:space="preserve"> </w:t>
      </w:r>
      <w:r>
        <w:rPr>
          <w:sz w:val="21"/>
        </w:rPr>
        <w:t xml:space="preserve">wrongly availed or utilised, with interest and penalty on that tax.</w:t>
      </w:r>
      <w:r>
        <w:rPr>
          <w:sz w:val="21"/>
        </w:rPr>
        <w:t xml:space="preserve"> </w:t>
      </w:r>
      <w:r>
        <w:rPr>
          <w:bCs/>
          <w:b/>
          <w:sz w:val="21"/>
        </w:rPr>
        <w:t xml:space="preserve">Late fee under section 47 is not tax</w:t>
      </w:r>
      <w:r>
        <w:rPr>
          <w:sz w:val="21"/>
        </w:rPr>
        <w:t xml:space="preserve"> </w:t>
      </w:r>
      <w:r>
        <w:rPr>
          <w:sz w:val="21"/>
        </w:rPr>
        <w:t xml:space="preserve">and is not demanded under those sections.</w:t>
      </w:r>
      <w:r>
        <w:rPr>
          <w:sz w:val="21"/>
        </w:rPr>
        <w:t xml:space="preserve"> </w:t>
      </w:r>
      <w:r>
        <w:rPr>
          <w:bCs/>
          <w:b/>
          <w:sz w:val="21"/>
        </w:rPr>
        <w:t xml:space="preserve">Interest under section 50</w:t>
      </w:r>
      <w:r>
        <w:rPr>
          <w:sz w:val="21"/>
        </w:rPr>
        <w:t xml:space="preserve"> </w:t>
      </w:r>
      <w:r>
        <w:rPr>
          <w:sz w:val="21"/>
        </w:rPr>
        <w:t xml:space="preserve">is proposed in a section 73 / 74 / 74A notice only as interest on the tax or credit demanded in that notice. Do not put a</w:t>
      </w:r>
      <w:r>
        <w:rPr>
          <w:sz w:val="21"/>
        </w:rPr>
        <w:t xml:space="preserve"> </w:t>
      </w:r>
      <w:r>
        <w:rPr>
          <w:sz w:val="21"/>
        </w:rPr>
        <w:t xml:space="preserve">“</w:t>
      </w:r>
      <w:r>
        <w:rPr>
          <w:sz w:val="21"/>
        </w:rPr>
        <w:t xml:space="preserve">Fee</w:t>
      </w:r>
      <w:r>
        <w:rPr>
          <w:sz w:val="21"/>
        </w:rPr>
        <w:t xml:space="preserve">”</w:t>
      </w:r>
      <w:r>
        <w:rPr>
          <w:sz w:val="21"/>
        </w:rPr>
        <w:t xml:space="preserve"> </w:t>
      </w:r>
      <w:r>
        <w:rPr>
          <w:sz w:val="21"/>
        </w:rPr>
        <w:t xml:space="preserve">amount in the DRC-01 table of an A1 notice, and do not write</w:t>
      </w:r>
      <w:r>
        <w:rPr>
          <w:sz w:val="21"/>
        </w:rPr>
        <w:t xml:space="preserve"> </w:t>
      </w:r>
      <w:r>
        <w:rPr>
          <w:sz w:val="21"/>
        </w:rPr>
        <w:t xml:space="preserve">“</w:t>
      </w:r>
      <w:r>
        <w:rPr>
          <w:sz w:val="21"/>
        </w:rPr>
        <w:t xml:space="preserve">late fee under section 73(1)</w:t>
      </w:r>
      <w:r>
        <w:rPr>
          <w:sz w:val="21"/>
        </w:rPr>
        <w:t xml:space="preserve">”</w:t>
      </w:r>
      <w:r>
        <w:rPr>
          <w:sz w:val="21"/>
        </w:rPr>
        <w:t xml:space="preserve">.</w:t>
      </w:r>
    </w:p>
    <w:p>
      <w:pPr>
        <w:pStyle w:val="FirstParagraph"/>
        <w:spacing w:before="0" w:after="120" w:line="269" w:lineRule="auto"/>
        <w:jc w:val="both"/>
      </w:pPr>
      <w:r>
        <w:rPr>
          <w:bCs/>
          <w:b/>
        </w:rPr>
        <w:t xml:space="preserve">(b) Interest on self-assessed tax paid late (no dispute).</w:t>
      </w:r>
      <w:r>
        <w:t xml:space="preserve"> </w:t>
      </w:r>
      <w:r>
        <w:t xml:space="preserve">Where the noticee filed a return late and paid the tax with it, interest under section 50(1) is computed on the part of the tax paid by debiting the electronic cash ledger (proviso to section 50(1); rule 88B(1)), unless the return was filed after proceedings under section 73, 74 or 74A for that period began. Unpaid interest on self-assessed tax is recovered under section 79 (section 75(12)).</w:t>
      </w:r>
      <w:r>
        <w:t xml:space="preserve"> </w:t>
      </w:r>
      <w:r>
        <w:rPr>
          <w:bCs/>
          <w:b/>
        </w:rPr>
        <w:t xml:space="preserve">Procedure:</w:t>
      </w:r>
      <w:r>
        <w:t xml:space="preserve"> </w:t>
      </w:r>
      <w:r>
        <w:t xml:space="preserve">intimate the amount in FORM GST DRC-01D (rule 142B(1)), giving the month-wise computation; the person must pay within seven days; the intimation is treated as the notice for recovery (rule 142B(2)); if unpaid, recover under rules 143 onward (rule 142B(3)).</w:t>
      </w:r>
    </w:p>
    <w:p>
      <w:pPr>
        <w:pStyle w:val="BodyText"/>
        <w:spacing w:before="0" w:after="120" w:line="269" w:lineRule="auto"/>
      </w:pPr>
      <w:r>
        <w:rPr>
          <w:iCs/>
          <w:i/>
        </w:rPr>
        <w:t xml:space="preserve">Table 10A: Interest on tax paid late (for DRC-01D)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78"/>
        <w:gridCol w:w="1174"/>
        <w:gridCol w:w="978"/>
        <w:gridCol w:w="978"/>
        <w:gridCol w:w="1125"/>
        <w:gridCol w:w="978"/>
        <w:gridCol w:w="1272"/>
        <w:gridCol w:w="978"/>
        <w:gridCol w:w="1174"/>
      </w:tblGrid>
      <w:tr>
        <w:trPr>
          <w:tblHeader w:val="true"/>
          <w:tblHeader/>
        </w:trPr>
        <w:tc>
          <w:tcPr>
            <w:tcW w:type="dxa" w:w="978"/>
            <w:shd w:val="clear" w:color="auto" w:fill="DCE6F1"/>
          </w:tcPr>
          <w:p>
            <w:pPr>
              <w:pStyle w:val="Compact"/>
              <w:spacing w:before="0" w:after="0" w:line="240" w:lineRule="auto"/>
              <w:jc w:val="left"/>
            </w:pPr>
            <w:r>
              <w:rPr>
                <w:b/>
                <w:color w:val="1F3864"/>
                <w:sz w:val="18"/>
              </w:rPr>
              <w:t xml:space="preserve">Month</w:t>
            </w:r>
          </w:p>
        </w:tc>
        <w:tc>
          <w:tcPr>
            <w:tcW w:type="dxa" w:w="1174"/>
            <w:shd w:val="clear" w:color="auto" w:fill="DCE6F1"/>
          </w:tcPr>
          <w:p>
            <w:pPr>
              <w:pStyle w:val="Compact"/>
              <w:spacing w:before="0" w:after="0" w:line="240" w:lineRule="auto"/>
              <w:jc w:val="left"/>
            </w:pPr>
            <w:r>
              <w:rPr>
                <w:b/>
                <w:color w:val="1F3864"/>
                <w:sz w:val="18"/>
              </w:rPr>
              <w:t xml:space="preserve">Due date of GSTR-3B</w:t>
            </w:r>
          </w:p>
        </w:tc>
        <w:tc>
          <w:tcPr>
            <w:tcW w:type="dxa" w:w="978"/>
            <w:shd w:val="clear" w:color="auto" w:fill="DCE6F1"/>
          </w:tcPr>
          <w:p>
            <w:pPr>
              <w:pStyle w:val="Compact"/>
              <w:spacing w:before="0" w:after="0" w:line="240" w:lineRule="auto"/>
              <w:jc w:val="left"/>
            </w:pPr>
            <w:r>
              <w:rPr>
                <w:b/>
                <w:color w:val="1F3864"/>
                <w:sz w:val="18"/>
              </w:rPr>
              <w:t xml:space="preserve">Filed on</w:t>
            </w:r>
          </w:p>
        </w:tc>
        <w:tc>
          <w:tcPr>
            <w:tcW w:type="dxa" w:w="978"/>
            <w:shd w:val="clear" w:color="auto" w:fill="DCE6F1"/>
          </w:tcPr>
          <w:p>
            <w:pPr>
              <w:pStyle w:val="Compact"/>
              <w:spacing w:before="0" w:after="0" w:line="240" w:lineRule="auto"/>
              <w:jc w:val="left"/>
            </w:pPr>
            <w:r>
              <w:rPr>
                <w:b/>
                <w:color w:val="1F3864"/>
                <w:sz w:val="18"/>
              </w:rPr>
              <w:t xml:space="preserve">Days late</w:t>
            </w:r>
          </w:p>
        </w:tc>
        <w:tc>
          <w:tcPr>
            <w:tcW w:type="dxa" w:w="1125"/>
            <w:shd w:val="clear" w:color="auto" w:fill="DCE6F1"/>
          </w:tcPr>
          <w:p>
            <w:pPr>
              <w:pStyle w:val="Compact"/>
              <w:spacing w:before="0" w:after="0" w:line="240" w:lineRule="auto"/>
              <w:jc w:val="left"/>
            </w:pPr>
            <w:r>
              <w:rPr>
                <w:b/>
                <w:color w:val="1F3864"/>
                <w:sz w:val="18"/>
              </w:rPr>
              <w:t xml:space="preserve">Tax paid in cash (₹)</w:t>
            </w:r>
          </w:p>
        </w:tc>
        <w:tc>
          <w:tcPr>
            <w:tcW w:type="dxa" w:w="978"/>
            <w:shd w:val="clear" w:color="auto" w:fill="DCE6F1"/>
          </w:tcPr>
          <w:p>
            <w:pPr>
              <w:pStyle w:val="Compact"/>
              <w:spacing w:before="0" w:after="0" w:line="240" w:lineRule="auto"/>
              <w:jc w:val="left"/>
            </w:pPr>
            <w:r>
              <w:rPr>
                <w:b/>
                <w:color w:val="1F3864"/>
                <w:sz w:val="18"/>
              </w:rPr>
              <w:t xml:space="preserve">Rate</w:t>
            </w:r>
          </w:p>
        </w:tc>
        <w:tc>
          <w:tcPr>
            <w:tcW w:type="dxa" w:w="1272"/>
            <w:shd w:val="clear" w:color="auto" w:fill="DCE6F1"/>
          </w:tcPr>
          <w:p>
            <w:pPr>
              <w:pStyle w:val="Compact"/>
              <w:spacing w:before="0" w:after="0" w:line="240" w:lineRule="auto"/>
              <w:jc w:val="left"/>
            </w:pPr>
            <w:r>
              <w:rPr>
                <w:b/>
                <w:color w:val="1F3864"/>
                <w:sz w:val="18"/>
              </w:rPr>
              <w:t xml:space="preserve">Interest (₹)</w:t>
            </w:r>
          </w:p>
        </w:tc>
        <w:tc>
          <w:tcPr>
            <w:tcW w:type="dxa" w:w="978"/>
            <w:shd w:val="clear" w:color="auto" w:fill="DCE6F1"/>
          </w:tcPr>
          <w:p>
            <w:pPr>
              <w:pStyle w:val="Compact"/>
              <w:spacing w:before="0" w:after="0" w:line="240" w:lineRule="auto"/>
              <w:jc w:val="left"/>
            </w:pPr>
            <w:r>
              <w:rPr>
                <w:b/>
                <w:color w:val="1F3864"/>
                <w:sz w:val="18"/>
              </w:rPr>
              <w:t xml:space="preserve">Paid (₹)</w:t>
            </w:r>
          </w:p>
        </w:tc>
        <w:tc>
          <w:tcPr>
            <w:tcW w:type="dxa" w:w="1174"/>
            <w:shd w:val="clear" w:color="auto" w:fill="DCE6F1"/>
          </w:tcPr>
          <w:p>
            <w:pPr>
              <w:pStyle w:val="Compact"/>
              <w:spacing w:before="0" w:after="0" w:line="240" w:lineRule="auto"/>
              <w:jc w:val="left"/>
            </w:pPr>
            <w:r>
              <w:rPr>
                <w:b/>
                <w:color w:val="1F3864"/>
                <w:sz w:val="18"/>
              </w:rPr>
              <w:t xml:space="preserve">Balance (₹)</w:t>
            </w:r>
          </w:p>
        </w:tc>
      </w:tr>
      <w:tr>
        <w:tc>
          <w:tcPr>
            <w:tcW w:type="dxa" w:w="978"/>
          </w:tcPr>
          <w:p>
            <w:pPr>
              <w:pStyle w:val="Compact"/>
              <w:spacing w:before="0" w:after="0" w:line="240" w:lineRule="auto"/>
              <w:jc w:val="left"/>
            </w:pPr>
            <w:r>
              <w:rPr>
                <w:sz w:val="18"/>
              </w:rPr>
              <w:t xml:space="preserve">[ ]</w:t>
            </w:r>
          </w:p>
        </w:tc>
        <w:tc>
          <w:tcPr>
            <w:tcW w:type="dxa" w:w="1174"/>
          </w:tcPr>
          <w:p>
            <w:pPr>
              <w:pStyle w:val="Compact"/>
              <w:spacing w:before="0" w:after="0" w:line="240" w:lineRule="auto"/>
              <w:jc w:val="left"/>
            </w:pPr>
            <w:r>
              <w:rPr>
                <w:sz w:val="18"/>
              </w:rPr>
              <w:t xml:space="preserve">[ ]</w:t>
            </w:r>
          </w:p>
        </w:tc>
        <w:tc>
          <w:tcPr>
            <w:tcW w:type="dxa" w:w="978"/>
          </w:tcPr>
          <w:p>
            <w:pPr>
              <w:pStyle w:val="Compact"/>
              <w:spacing w:before="0" w:after="0" w:line="240" w:lineRule="auto"/>
              <w:jc w:val="left"/>
            </w:pPr>
            <w:r>
              <w:rPr>
                <w:sz w:val="18"/>
              </w:rPr>
              <w:t xml:space="preserve">[ ]</w:t>
            </w:r>
          </w:p>
        </w:tc>
        <w:tc>
          <w:tcPr>
            <w:tcW w:type="dxa" w:w="978"/>
          </w:tcPr>
          <w:p>
            <w:pPr>
              <w:pStyle w:val="Compact"/>
              <w:spacing w:before="0" w:after="0" w:line="240" w:lineRule="auto"/>
              <w:jc w:val="left"/>
            </w:pPr>
            <w:r>
              <w:rPr>
                <w:sz w:val="18"/>
              </w:rPr>
              <w:t xml:space="preserve">[ ]</w:t>
            </w:r>
          </w:p>
        </w:tc>
        <w:tc>
          <w:tcPr>
            <w:tcW w:type="dxa" w:w="1125"/>
          </w:tcPr>
          <w:p>
            <w:pPr>
              <w:pStyle w:val="Compact"/>
              <w:spacing w:before="0" w:after="0" w:line="240" w:lineRule="auto"/>
              <w:jc w:val="left"/>
            </w:pPr>
            <w:r>
              <w:rPr>
                <w:sz w:val="18"/>
              </w:rPr>
              <w:t xml:space="preserve">[ ]</w:t>
            </w:r>
          </w:p>
        </w:tc>
        <w:tc>
          <w:tcPr>
            <w:tcW w:type="dxa" w:w="978"/>
          </w:tcPr>
          <w:p>
            <w:pPr>
              <w:pStyle w:val="Compact"/>
              <w:spacing w:before="0" w:after="0" w:line="240" w:lineRule="auto"/>
              <w:jc w:val="left"/>
            </w:pPr>
            <w:r>
              <w:rPr>
                <w:sz w:val="18"/>
              </w:rPr>
              <w:t xml:space="preserve">18%</w:t>
            </w:r>
          </w:p>
        </w:tc>
        <w:tc>
          <w:tcPr>
            <w:tcW w:type="dxa" w:w="1272"/>
          </w:tcPr>
          <w:p>
            <w:pPr>
              <w:pStyle w:val="Compact"/>
              <w:spacing w:before="0" w:after="0" w:line="240" w:lineRule="auto"/>
              <w:jc w:val="left"/>
            </w:pPr>
            <w:r>
              <w:rPr>
                <w:sz w:val="18"/>
              </w:rPr>
              <w:t xml:space="preserve">[ ]</w:t>
            </w:r>
          </w:p>
        </w:tc>
        <w:tc>
          <w:tcPr>
            <w:tcW w:type="dxa" w:w="978"/>
          </w:tcPr>
          <w:p>
            <w:pPr>
              <w:pStyle w:val="Compact"/>
              <w:spacing w:before="0" w:after="0" w:line="240" w:lineRule="auto"/>
              <w:jc w:val="left"/>
            </w:pPr>
            <w:r>
              <w:rPr>
                <w:sz w:val="18"/>
              </w:rPr>
              <w:t xml:space="preserve">[ ]</w:t>
            </w:r>
          </w:p>
        </w:tc>
        <w:tc>
          <w:tcPr>
            <w:tcW w:type="dxa" w:w="1174"/>
          </w:tcPr>
          <w:p>
            <w:pPr>
              <w:pStyle w:val="Compact"/>
              <w:spacing w:before="0" w:after="0" w:line="240" w:lineRule="auto"/>
              <w:jc w:val="left"/>
            </w:pPr>
            <w:r>
              <w:rPr>
                <w:sz w:val="18"/>
              </w:rPr>
              <w:t xml:space="preserve">[ ]</w:t>
            </w:r>
          </w:p>
        </w:tc>
      </w:tr>
    </w:tbl>
    <w:p>
      <w:pPr>
        <w:pStyle w:val="BodyText"/>
        <w:spacing w:before="0" w:after="120" w:line="269" w:lineRule="auto"/>
        <w:jc w:val="both"/>
      </w:pPr>
      <w:r>
        <w:rPr>
          <w:bCs/>
          <w:b/>
        </w:rPr>
        <w:t xml:space="preserve">(c) Interest disputed by the person.</w:t>
      </w:r>
      <w:r>
        <w:t xml:space="preserve"> </w:t>
      </w:r>
      <w:r>
        <w:t xml:space="preserve">Where the person disputes the interest (for example, the cash portion, the dates, or whether a payment was in time), give him the computation and an opportunity to reply and be heard before recovery, and record a reasoned decision. Where the interest is on tax or credit that is itself in dispute, propose the interest in the A1 notice with that tax (A1 Part 7). Where tax or credit was paid or reversed before the notice but the interest was not, the payment falls short of the amount payable and a notice may issue for the shortfall (section 73(7), 74(7) or 74A(10)).</w:t>
      </w:r>
    </w:p>
    <w:p>
      <w:pPr>
        <w:pStyle w:val="BodyText"/>
        <w:spacing w:before="0" w:after="120" w:line="269" w:lineRule="auto"/>
        <w:jc w:val="both"/>
      </w:pPr>
      <w:r>
        <w:rPr>
          <w:bCs/>
          <w:b/>
        </w:rPr>
        <w:t xml:space="preserve">(d) Late fee under section 47.</w:t>
      </w:r>
      <w:r>
        <w:t xml:space="preserve"> </w:t>
      </w:r>
      <w:r>
        <w:t xml:space="preserve">Late fee is payable at the rates in section 47(1) (GSTR-1, GSTR-3B and other returns) and section 47(2) (annual return), as reduced by the notifications for the return concerned: Notification No. 20/2021-Central Tax (GSTR-1), No. 19/2021-Central Tax (GSTR-3B), No. 07/2023-Central Tax (GSTR-9). The reduced maximum depends on the aggregate turnover of the</w:t>
      </w:r>
      <w:r>
        <w:t xml:space="preserve"> </w:t>
      </w:r>
      <w:r>
        <w:rPr>
          <w:bCs/>
          <w:b/>
        </w:rPr>
        <w:t xml:space="preserve">preceding</w:t>
      </w:r>
      <w:r>
        <w:t xml:space="preserve"> </w:t>
      </w:r>
      <w:r>
        <w:t xml:space="preserve">financial year; record that turnover and the band.</w:t>
      </w:r>
    </w:p>
    <w:p>
      <w:pPr>
        <w:pStyle w:val="BodyText"/>
        <w:spacing w:before="0" w:after="120" w:line="269" w:lineRule="auto"/>
      </w:pPr>
      <w:r>
        <w:rPr>
          <w:iCs/>
          <w:i/>
        </w:rPr>
        <w:t xml:space="preserve">Table 10B: Late fee</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1263"/>
        <w:gridCol w:w="1769"/>
        <w:gridCol w:w="722"/>
        <w:gridCol w:w="722"/>
        <w:gridCol w:w="1011"/>
        <w:gridCol w:w="1697"/>
        <w:gridCol w:w="866"/>
        <w:gridCol w:w="722"/>
        <w:gridCol w:w="866"/>
      </w:tblGrid>
      <w:tr>
        <w:trPr>
          <w:tblHeader w:val="true"/>
          <w:tblHeader/>
        </w:trPr>
        <w:tc>
          <w:tcPr>
            <w:tcW w:type="dxa" w:w="1263"/>
            <w:shd w:val="clear" w:color="auto" w:fill="DCE6F1"/>
          </w:tcPr>
          <w:p>
            <w:pPr>
              <w:pStyle w:val="Compact"/>
              <w:spacing w:before="0" w:after="0" w:line="240" w:lineRule="auto"/>
              <w:jc w:val="left"/>
            </w:pPr>
            <w:r>
              <w:rPr>
                <w:b/>
                <w:color w:val="1F3864"/>
                <w:sz w:val="18"/>
              </w:rPr>
              <w:t xml:space="preserve">Return and period</w:t>
            </w:r>
          </w:p>
        </w:tc>
        <w:tc>
          <w:tcPr>
            <w:tcW w:type="dxa" w:w="1769"/>
            <w:shd w:val="clear" w:color="auto" w:fill="DCE6F1"/>
          </w:tcPr>
          <w:p>
            <w:pPr>
              <w:pStyle w:val="Compact"/>
              <w:spacing w:before="0" w:after="0" w:line="240" w:lineRule="auto"/>
              <w:jc w:val="left"/>
            </w:pPr>
            <w:r>
              <w:rPr>
                <w:b/>
                <w:color w:val="1F3864"/>
                <w:sz w:val="18"/>
              </w:rPr>
              <w:t xml:space="preserve">Due date (as extended by Notification No. [ ])</w:t>
            </w:r>
          </w:p>
        </w:tc>
        <w:tc>
          <w:tcPr>
            <w:tcW w:type="dxa" w:w="722"/>
            <w:shd w:val="clear" w:color="auto" w:fill="DCE6F1"/>
          </w:tcPr>
          <w:p>
            <w:pPr>
              <w:pStyle w:val="Compact"/>
              <w:spacing w:before="0" w:after="0" w:line="240" w:lineRule="auto"/>
              <w:jc w:val="left"/>
            </w:pPr>
            <w:r>
              <w:rPr>
                <w:b/>
                <w:color w:val="1F3864"/>
                <w:sz w:val="18"/>
              </w:rPr>
              <w:t xml:space="preserve">Filed on</w:t>
            </w:r>
          </w:p>
        </w:tc>
        <w:tc>
          <w:tcPr>
            <w:tcW w:type="dxa" w:w="722"/>
            <w:shd w:val="clear" w:color="auto" w:fill="DCE6F1"/>
          </w:tcPr>
          <w:p>
            <w:pPr>
              <w:pStyle w:val="Compact"/>
              <w:spacing w:before="0" w:after="0" w:line="240" w:lineRule="auto"/>
              <w:jc w:val="left"/>
            </w:pPr>
            <w:r>
              <w:rPr>
                <w:b/>
                <w:color w:val="1F3864"/>
                <w:sz w:val="18"/>
              </w:rPr>
              <w:t xml:space="preserve">Days late</w:t>
            </w:r>
          </w:p>
        </w:tc>
        <w:tc>
          <w:tcPr>
            <w:tcW w:type="dxa" w:w="1011"/>
            <w:shd w:val="clear" w:color="auto" w:fill="DCE6F1"/>
          </w:tcPr>
          <w:p>
            <w:pPr>
              <w:pStyle w:val="Compact"/>
              <w:spacing w:before="0" w:after="0" w:line="240" w:lineRule="auto"/>
              <w:jc w:val="left"/>
            </w:pPr>
            <w:r>
              <w:rPr>
                <w:b/>
                <w:color w:val="1F3864"/>
                <w:sz w:val="18"/>
              </w:rPr>
              <w:t xml:space="preserve">Fee per day (CGST + SGST)</w:t>
            </w:r>
          </w:p>
        </w:tc>
        <w:tc>
          <w:tcPr>
            <w:tcW w:type="dxa" w:w="1697"/>
            <w:shd w:val="clear" w:color="auto" w:fill="DCE6F1"/>
          </w:tcPr>
          <w:p>
            <w:pPr>
              <w:pStyle w:val="Compact"/>
              <w:spacing w:before="0" w:after="0" w:line="240" w:lineRule="auto"/>
              <w:jc w:val="left"/>
            </w:pPr>
            <w:r>
              <w:rPr>
                <w:b/>
                <w:color w:val="1F3864"/>
                <w:sz w:val="18"/>
              </w:rPr>
              <w:t xml:space="preserve">Maximum (band; preceding-year turnover ₹[ ])</w:t>
            </w:r>
          </w:p>
        </w:tc>
        <w:tc>
          <w:tcPr>
            <w:tcW w:type="dxa" w:w="866"/>
            <w:shd w:val="clear" w:color="auto" w:fill="DCE6F1"/>
          </w:tcPr>
          <w:p>
            <w:pPr>
              <w:pStyle w:val="Compact"/>
              <w:spacing w:before="0" w:after="0" w:line="240" w:lineRule="auto"/>
              <w:jc w:val="left"/>
            </w:pPr>
            <w:r>
              <w:rPr>
                <w:b/>
                <w:color w:val="1F3864"/>
                <w:sz w:val="18"/>
              </w:rPr>
              <w:t xml:space="preserve">Fee payable (₹)</w:t>
            </w:r>
          </w:p>
        </w:tc>
        <w:tc>
          <w:tcPr>
            <w:tcW w:type="dxa" w:w="722"/>
            <w:shd w:val="clear" w:color="auto" w:fill="DCE6F1"/>
          </w:tcPr>
          <w:p>
            <w:pPr>
              <w:pStyle w:val="Compact"/>
              <w:spacing w:before="0" w:after="0" w:line="240" w:lineRule="auto"/>
              <w:jc w:val="left"/>
            </w:pPr>
            <w:r>
              <w:rPr>
                <w:b/>
                <w:color w:val="1F3864"/>
                <w:sz w:val="18"/>
              </w:rPr>
              <w:t xml:space="preserve">Paid (₹)</w:t>
            </w:r>
          </w:p>
        </w:tc>
        <w:tc>
          <w:tcPr>
            <w:tcW w:type="dxa" w:w="866"/>
            <w:shd w:val="clear" w:color="auto" w:fill="DCE6F1"/>
          </w:tcPr>
          <w:p>
            <w:pPr>
              <w:pStyle w:val="Compact"/>
              <w:spacing w:before="0" w:after="0" w:line="240" w:lineRule="auto"/>
              <w:jc w:val="left"/>
            </w:pPr>
            <w:r>
              <w:rPr>
                <w:b/>
                <w:color w:val="1F3864"/>
                <w:sz w:val="18"/>
              </w:rPr>
              <w:t xml:space="preserve">Balance (₹)</w:t>
            </w:r>
          </w:p>
        </w:tc>
      </w:tr>
      <w:tr>
        <w:tc>
          <w:tcPr>
            <w:tcW w:type="dxa" w:w="1263"/>
          </w:tcPr>
          <w:p>
            <w:pPr>
              <w:pStyle w:val="Compact"/>
              <w:spacing w:before="0" w:after="0" w:line="240" w:lineRule="auto"/>
              <w:jc w:val="left"/>
            </w:pPr>
            <w:r>
              <w:rPr>
                <w:sz w:val="18"/>
              </w:rPr>
              <w:t xml:space="preserve">[GSTR-1, Mon YYYY]</w:t>
            </w:r>
          </w:p>
        </w:tc>
        <w:tc>
          <w:tcPr>
            <w:tcW w:type="dxa" w:w="1769"/>
          </w:tcPr>
          <w:p>
            <w:pPr>
              <w:pStyle w:val="Compact"/>
              <w:spacing w:before="0" w:after="0" w:line="240" w:lineRule="auto"/>
              <w:jc w:val="left"/>
            </w:pPr>
            <w:r>
              <w:rPr>
                <w:sz w:val="18"/>
              </w:rPr>
              <w:t xml:space="preserve">[ ]</w:t>
            </w:r>
          </w:p>
        </w:tc>
        <w:tc>
          <w:tcPr>
            <w:tcW w:type="dxa" w:w="722"/>
          </w:tcPr>
          <w:p>
            <w:pPr>
              <w:pStyle w:val="Compact"/>
              <w:spacing w:before="0" w:after="0" w:line="240" w:lineRule="auto"/>
              <w:jc w:val="left"/>
            </w:pPr>
            <w:r>
              <w:rPr>
                <w:sz w:val="18"/>
              </w:rPr>
              <w:t xml:space="preserve">[ ]</w:t>
            </w:r>
          </w:p>
        </w:tc>
        <w:tc>
          <w:tcPr>
            <w:tcW w:type="dxa" w:w="722"/>
          </w:tcPr>
          <w:p>
            <w:pPr>
              <w:pStyle w:val="Compact"/>
              <w:spacing w:before="0" w:after="0" w:line="240" w:lineRule="auto"/>
              <w:jc w:val="left"/>
            </w:pPr>
            <w:r>
              <w:rPr>
                <w:sz w:val="18"/>
              </w:rPr>
              <w:t xml:space="preserve">[ ]</w:t>
            </w:r>
          </w:p>
        </w:tc>
        <w:tc>
          <w:tcPr>
            <w:tcW w:type="dxa" w:w="1011"/>
          </w:tcPr>
          <w:p>
            <w:pPr>
              <w:pStyle w:val="Compact"/>
              <w:spacing w:before="0" w:after="0" w:line="240" w:lineRule="auto"/>
              <w:jc w:val="left"/>
            </w:pPr>
            <w:r>
              <w:rPr>
                <w:sz w:val="18"/>
              </w:rPr>
              <w:t xml:space="preserve">[ ]</w:t>
            </w:r>
          </w:p>
        </w:tc>
        <w:tc>
          <w:tcPr>
            <w:tcW w:type="dxa" w:w="1697"/>
          </w:tcPr>
          <w:p>
            <w:pPr>
              <w:pStyle w:val="Compact"/>
              <w:spacing w:before="0" w:after="0" w:line="240" w:lineRule="auto"/>
              <w:jc w:val="left"/>
            </w:pPr>
            <w:r>
              <w:rPr>
                <w:sz w:val="18"/>
              </w:rPr>
              <w:t xml:space="preserve">[ ]</w:t>
            </w:r>
          </w:p>
        </w:tc>
        <w:tc>
          <w:tcPr>
            <w:tcW w:type="dxa" w:w="866"/>
          </w:tcPr>
          <w:p>
            <w:pPr>
              <w:pStyle w:val="Compact"/>
              <w:spacing w:before="0" w:after="0" w:line="240" w:lineRule="auto"/>
              <w:jc w:val="left"/>
            </w:pPr>
            <w:r>
              <w:rPr>
                <w:sz w:val="18"/>
              </w:rPr>
              <w:t xml:space="preserve">[ ]</w:t>
            </w:r>
          </w:p>
        </w:tc>
        <w:tc>
          <w:tcPr>
            <w:tcW w:type="dxa" w:w="722"/>
          </w:tcPr>
          <w:p>
            <w:pPr>
              <w:pStyle w:val="Compact"/>
              <w:spacing w:before="0" w:after="0" w:line="240" w:lineRule="auto"/>
              <w:jc w:val="left"/>
            </w:pPr>
            <w:r>
              <w:rPr>
                <w:sz w:val="18"/>
              </w:rPr>
              <w:t xml:space="preserve">[ ]</w:t>
            </w:r>
          </w:p>
        </w:tc>
        <w:tc>
          <w:tcPr>
            <w:tcW w:type="dxa" w:w="866"/>
          </w:tcPr>
          <w:p>
            <w:pPr>
              <w:pStyle w:val="Compact"/>
              <w:spacing w:before="0" w:after="0" w:line="240" w:lineRule="auto"/>
              <w:jc w:val="left"/>
            </w:pPr>
            <w:r>
              <w:rPr>
                <w:sz w:val="18"/>
              </w:rPr>
              <w:t xml:space="preserve">[ ]</w:t>
            </w:r>
          </w:p>
        </w:tc>
      </w:tr>
    </w:tbl>
    <w:p>
      <w:pPr>
        <w:pStyle w:val="BodyText"/>
        <w:spacing w:before="0" w:after="120" w:line="269" w:lineRule="auto"/>
        <w:jc w:val="both"/>
      </w:pPr>
      <w:r>
        <w:rPr>
          <w:bCs/>
          <w:b/>
        </w:rPr>
        <w:t xml:space="preserve">How to recover unpaid late fee.</w:t>
      </w:r>
      <w:r>
        <w:t xml:space="preserve"> </w:t>
      </w:r>
      <w:r>
        <w:t xml:space="preserve">No form in rule 142 or rule 142B is prescribed for late fee: DRC-01D covers only tax and interest. The safe course is a short written notice stating the return, due date (after any extension), filing date, days, rate, maximum and amount, with fifteen days to pay or object; a hearing if the person objects; and a reasoned order. The amount so determined is an amount payable under the Act and is recoverable under section 79. Section 125 is not imposed for the same late filing, because a late fee applies.</w:t>
      </w:r>
    </w:p>
    <w:p>
      <w:pPr>
        <w:pStyle w:val="BlockText"/>
        <w:shd w:val="clear" w:color="auto" w:fill="E7E6E6"/>
      </w:pPr>
      <w:r>
        <w:rPr>
          <w:bCs/>
          <w:b/>
          <w:sz w:val="21"/>
        </w:rPr>
        <w:t xml:space="preserve">(e) Verify before issuing.</w:t>
      </w:r>
      <w:r>
        <w:rPr>
          <w:sz w:val="21"/>
        </w:rPr>
        <w:t xml:space="preserve"> </w:t>
      </w:r>
      <w:r>
        <w:rPr>
          <w:sz w:val="21"/>
        </w:rPr>
        <w:t xml:space="preserve">(1) Check the due date against every extension notification for that month before computing days. (2) Check the preceding-year turnover band, the nil-return maximum, and any waiver or amnesty notification for the return (for example, the GSTR-9 amnesty in Notification No. 07/2023-Central Tax). (3) The GSTR-3B usually cannot be filed without paying the late fee computed on the portal: check what was actually paid before proposing anything. (4) Interest on self-assessed tax that is not disputed goes by DRC-01D, not by an A1 notice. (5) Never add a section 125 penalty for a late return.</w:t>
      </w:r>
    </w:p>
    <w:bookmarkEnd w:id="30"/>
    <w:bookmarkEnd w:id="31"/>
    <w:p>
      <w:pPr>
        <w:pStyle w:val="BlockText"/>
        <w:shd w:val="clear" w:color="auto" w:fill="E7E6E6"/>
        <w:spacing w:before="360"/>
      </w:pPr>
      <w:r>
        <w:rPr>
          <w:bCs/>
          <w:b/>
          <w:sz w:val="21"/>
        </w:rPr>
        <w:t xml:space="preserve">How to use this template.</w:t>
      </w:r>
      <w:r>
        <w:rPr>
          <w:sz w:val="21"/>
        </w:rPr>
        <w:t xml:space="preserve"> </w:t>
      </w:r>
      <w:r>
        <w:rPr>
          <w:sz w:val="21"/>
        </w:rPr>
        <w:t xml:space="preserve">Each module is a ready set of paragraphs for one issue. Paste the module into Part 3 of A1 as para 3.[n], fill the brackets, and renumber. Every module has the same blocks:</w:t>
      </w:r>
      <w:r>
        <w:rPr>
          <w:sz w:val="21"/>
        </w:rPr>
        <w:t xml:space="preserve"> </w:t>
      </w:r>
      <w:r>
        <w:rPr>
          <w:bCs/>
          <w:b/>
          <w:sz w:val="21"/>
        </w:rPr>
        <w:t xml:space="preserve">(a) allegation</w:t>
      </w:r>
      <w:r>
        <w:rPr>
          <w:sz w:val="21"/>
        </w:rPr>
        <w:t xml:space="preserve">,</w:t>
      </w:r>
      <w:r>
        <w:rPr>
          <w:sz w:val="21"/>
        </w:rPr>
        <w:t xml:space="preserve"> </w:t>
      </w:r>
      <w:r>
        <w:rPr>
          <w:bCs/>
          <w:b/>
          <w:sz w:val="21"/>
        </w:rPr>
        <w:t xml:space="preserve">(b) provisions</w:t>
      </w:r>
      <w:r>
        <w:rPr>
          <w:sz w:val="21"/>
        </w:rPr>
        <w:t xml:space="preserve">,</w:t>
      </w:r>
      <w:r>
        <w:rPr>
          <w:sz w:val="21"/>
        </w:rPr>
        <w:t xml:space="preserve"> </w:t>
      </w:r>
      <w:r>
        <w:rPr>
          <w:bCs/>
          <w:b/>
          <w:sz w:val="21"/>
        </w:rPr>
        <w:t xml:space="preserve">(c) evidence</w:t>
      </w:r>
      <w:r>
        <w:rPr>
          <w:sz w:val="21"/>
        </w:rPr>
        <w:t xml:space="preserve">,</w:t>
      </w:r>
      <w:r>
        <w:rPr>
          <w:sz w:val="21"/>
        </w:rPr>
        <w:t xml:space="preserve"> </w:t>
      </w:r>
      <w:r>
        <w:rPr>
          <w:bCs/>
          <w:b/>
          <w:sz w:val="21"/>
        </w:rPr>
        <w:t xml:space="preserve">(d) computation</w:t>
      </w:r>
      <w:r>
        <w:rPr>
          <w:sz w:val="21"/>
        </w:rPr>
        <w:t xml:space="preserve">,</w:t>
      </w:r>
      <w:r>
        <w:rPr>
          <w:sz w:val="21"/>
        </w:rPr>
        <w:t xml:space="preserve"> </w:t>
      </w:r>
      <w:r>
        <w:rPr>
          <w:bCs/>
          <w:b/>
          <w:sz w:val="21"/>
        </w:rPr>
        <w:t xml:space="preserve">(e) verify before issuing</w:t>
      </w:r>
      <w:r>
        <w:rPr>
          <w:sz w:val="21"/>
        </w:rPr>
        <w:t xml:space="preserve"> </w:t>
      </w:r>
      <w:r>
        <w:rPr>
          <w:sz w:val="21"/>
        </w:rPr>
        <w:t xml:space="preserve">(an office checklist: do not paste it into the notice) and, where relevant,</w:t>
      </w:r>
      <w:r>
        <w:rPr>
          <w:sz w:val="21"/>
        </w:rPr>
        <w:t xml:space="preserve"> </w:t>
      </w:r>
      <w:r>
        <w:rPr>
          <w:bCs/>
          <w:b/>
          <w:sz w:val="21"/>
        </w:rPr>
        <w:t xml:space="preserve">(f) facts for section 74 / 74A(5)(ii)</w:t>
      </w:r>
      <w:r>
        <w:rPr>
          <w:sz w:val="21"/>
        </w:rPr>
        <w:t xml:space="preserve"> </w:t>
      </w:r>
      <w:r>
        <w:rPr>
          <w:sz w:val="21"/>
        </w:rPr>
        <w:t xml:space="preserve">(paste into Part 5 of A1). Use the issue’s figures in Part 6 (quantification), Part 7 (interest) and Part 8 (penalty) of A1. Delete every grey box before issue.</w:t>
      </w:r>
    </w:p>
    <w:sectPr>
      <w:headerReference w:type="default" r:id="rId9"/>
      <w:footerReference w:type="default" r:id="rId10"/>
      <w:pgSz w:w="11906" w:h="16838"/>
      <w:pgMar w:bottom="1134" w:left="1134" w:right="1134" w:top="1134"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Template A2</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A2: Issue modules for Part 3 of the show cause notice (A1)</dc:title>
  <dc:creator>Sangareddy CGST Division</dc:creator>
  <cp:keywords/>
  <dcterms:created xsi:type="dcterms:W3CDTF">2026-10-14T07:56:12Z</dcterms:created>
  <dcterms:modified xsi:type="dcterms:W3CDTF">2026-10-14T07:56:12Z</dcterms:modified>
</cp:coreProperties>
</file>

<file path=docProps/custom.xml><?xml version="1.0" encoding="utf-8"?>
<Properties xmlns="http://schemas.openxmlformats.org/officeDocument/2006/custom-properties" xmlns:vt="http://schemas.openxmlformats.org/officeDocument/2006/docPropsVTypes"/>
</file>