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Title"/>
      </w:pPr>
      <w:r>
        <w:t xml:space="preserve">INTIMATION OF TAX ASCERTAINED BEFORE SERVICE OF A SHOW CAUSE NOTICE</w:t>
      </w:r>
      <w:r>
        <w:br/>
      </w:r>
      <w:r>
        <w:t xml:space="preserve">FORM GST DRC-01A, Part A [rule 142(1A)]: statement of ascertainment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076"/>
        <w:gridCol w:w="7562"/>
      </w:tblGrid>
      <w:tr>
        <w:trPr>
          <w:tblHeader w:val="true"/>
          <w:tblHeader/>
        </w:trPr>
        <w:tc>
          <w:tcPr>
            <w:tcW w:type="dxa" w:w="2076"/>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562"/>
            <w:shd w:val="clear" w:color="auto" w:fill="DCE6F1"/>
          </w:tcPr>
          <w:p>
            <w:pPr>
              <w:pStyle w:val="Compact"/>
              <w:spacing w:before="0" w:after="0" w:line="240" w:lineRule="auto"/>
              <w:jc w:val="left"/>
            </w:pPr>
            <w:r>
              <w:rPr>
                <w:b/>
                <w:color w:val="1F3864"/>
                <w:sz w:val="21"/>
              </w:rPr>
              <w:t xml:space="preserve">Details</w:t>
            </w:r>
          </w:p>
        </w:tc>
      </w:tr>
      <w:tr>
        <w:tc>
          <w:tcPr>
            <w:tcW w:type="dxa" w:w="2076"/>
            <w:shd w:val="clear" w:color="auto" w:fill="F5F8FC"/>
          </w:tcPr>
          <w:p>
            <w:pPr>
              <w:pStyle w:val="Compact"/>
              <w:spacing w:before="0" w:after="0" w:line="240" w:lineRule="auto"/>
              <w:jc w:val="left"/>
            </w:pPr>
            <w:r>
              <w:rPr>
                <w:b/>
                <w:sz w:val="21"/>
              </w:rPr>
              <w:t xml:space="preserve">Reference No. and date</w:t>
            </w:r>
          </w:p>
        </w:tc>
        <w:tc>
          <w:tcPr>
            <w:tcW w:type="dxa" w:w="7562"/>
          </w:tcPr>
          <w:p>
            <w:pPr>
              <w:pStyle w:val="Compact"/>
              <w:spacing w:before="0" w:after="0" w:line="240" w:lineRule="auto"/>
              <w:jc w:val="left"/>
            </w:pPr>
            <w:r>
              <w:rPr>
                <w:sz w:val="21"/>
              </w:rPr>
              <w:t xml:space="preserve">[ ] dated [DD.MM.YYYY]</w:t>
            </w:r>
          </w:p>
        </w:tc>
      </w:tr>
      <w:tr>
        <w:tc>
          <w:tcPr>
            <w:tcW w:type="dxa" w:w="2076"/>
            <w:shd w:val="clear" w:color="auto" w:fill="F5F8FC"/>
          </w:tcPr>
          <w:p>
            <w:pPr>
              <w:pStyle w:val="Compact"/>
              <w:spacing w:before="0" w:after="0" w:line="240" w:lineRule="auto"/>
              <w:jc w:val="left"/>
            </w:pPr>
            <w:r>
              <w:rPr>
                <w:b/>
                <w:sz w:val="21"/>
              </w:rPr>
              <w:t xml:space="preserve">RFN / DIN</w:t>
            </w:r>
          </w:p>
        </w:tc>
        <w:tc>
          <w:tcPr>
            <w:tcW w:type="dxa" w:w="7562"/>
          </w:tcPr>
          <w:p>
            <w:pPr>
              <w:pStyle w:val="Compact"/>
              <w:spacing w:before="0" w:after="0" w:line="240" w:lineRule="auto"/>
              <w:jc w:val="left"/>
            </w:pPr>
            <w:r>
              <w:rPr>
                <w:sz w:val="21"/>
              </w:rPr>
              <w:t xml:space="preserve">RFN [ ] (portal). Copies sent by e-mail or post carry DIN [ ] (Circulars No. 122/41/2019-GST and 128/47/2019-GST; Circular No. 249/06/2025-GST for portal documents)</w:t>
            </w:r>
          </w:p>
        </w:tc>
      </w:tr>
      <w:tr>
        <w:tc>
          <w:tcPr>
            <w:tcW w:type="dxa" w:w="2076"/>
            <w:shd w:val="clear" w:color="auto" w:fill="F5F8FC"/>
          </w:tcPr>
          <w:p>
            <w:pPr>
              <w:pStyle w:val="Compact"/>
              <w:spacing w:before="0" w:after="0" w:line="240" w:lineRule="auto"/>
              <w:jc w:val="left"/>
            </w:pPr>
            <w:r>
              <w:rPr>
                <w:b/>
                <w:sz w:val="21"/>
              </w:rPr>
              <w:t xml:space="preserve">To</w:t>
            </w:r>
          </w:p>
        </w:tc>
        <w:tc>
          <w:tcPr>
            <w:tcW w:type="dxa" w:w="7562"/>
          </w:tcPr>
          <w:p>
            <w:pPr>
              <w:pStyle w:val="Compact"/>
              <w:spacing w:before="0" w:after="0" w:line="240" w:lineRule="auto"/>
              <w:jc w:val="left"/>
            </w:pPr>
            <w:r>
              <w:rPr>
                <w:sz w:val="21"/>
              </w:rPr>
              <w:t xml:space="preserve">[Legal name] ([trade name]), GSTIN [ ], [address]; registered e-mail [ ]</w:t>
            </w:r>
          </w:p>
        </w:tc>
      </w:tr>
      <w:tr>
        <w:tc>
          <w:tcPr>
            <w:tcW w:type="dxa" w:w="2076"/>
            <w:shd w:val="clear" w:color="auto" w:fill="F5F8FC"/>
          </w:tcPr>
          <w:p>
            <w:pPr>
              <w:pStyle w:val="Compact"/>
              <w:spacing w:before="0" w:after="0" w:line="240" w:lineRule="auto"/>
              <w:jc w:val="left"/>
            </w:pPr>
            <w:r>
              <w:rPr>
                <w:b/>
                <w:sz w:val="21"/>
              </w:rPr>
              <w:t xml:space="preserve">Financial year and tax periods</w:t>
            </w:r>
          </w:p>
        </w:tc>
        <w:tc>
          <w:tcPr>
            <w:tcW w:type="dxa" w:w="7562"/>
          </w:tcPr>
          <w:p>
            <w:pPr>
              <w:pStyle w:val="Compact"/>
              <w:spacing w:before="0" w:after="0" w:line="240" w:lineRule="auto"/>
              <w:jc w:val="left"/>
            </w:pPr>
            <w:r>
              <w:rPr>
                <w:sz w:val="21"/>
              </w:rPr>
              <w:t xml:space="preserve">FY [YYYY-YY] only; [Month YYYY] to [Month YYYY]</w:t>
            </w:r>
          </w:p>
        </w:tc>
      </w:tr>
      <w:tr>
        <w:tc>
          <w:tcPr>
            <w:tcW w:type="dxa" w:w="2076"/>
            <w:shd w:val="clear" w:color="auto" w:fill="F5F8FC"/>
          </w:tcPr>
          <w:p>
            <w:pPr>
              <w:pStyle w:val="Compact"/>
              <w:spacing w:before="0" w:after="0" w:line="240" w:lineRule="auto"/>
              <w:jc w:val="left"/>
            </w:pPr>
            <w:r>
              <w:rPr>
                <w:b/>
                <w:sz w:val="21"/>
              </w:rPr>
              <w:t xml:space="preserve">Section under which a notice is contemplated</w:t>
            </w:r>
          </w:p>
        </w:tc>
        <w:tc>
          <w:tcPr>
            <w:tcW w:type="dxa" w:w="7562"/>
          </w:tcPr>
          <w:p>
            <w:pPr>
              <w:pStyle w:val="Compact"/>
              <w:spacing w:before="0" w:after="0" w:line="240" w:lineRule="auto"/>
              <w:jc w:val="left"/>
            </w:pPr>
            <w:r>
              <w:rPr>
                <w:sz w:val="21"/>
              </w:rPr>
              <w:t xml:space="preserve">Section [73(1)] [74(1)] [74A(1)] of the CGST Act, 2017</w:t>
            </w:r>
          </w:p>
        </w:tc>
      </w:tr>
      <w:tr>
        <w:tc>
          <w:tcPr>
            <w:tcW w:type="dxa" w:w="2076"/>
            <w:shd w:val="clear" w:color="auto" w:fill="F5F8FC"/>
          </w:tcPr>
          <w:p>
            <w:pPr>
              <w:pStyle w:val="Compact"/>
              <w:spacing w:before="0" w:after="0" w:line="240" w:lineRule="auto"/>
              <w:jc w:val="left"/>
            </w:pPr>
            <w:r>
              <w:rPr>
                <w:b/>
                <w:sz w:val="21"/>
              </w:rPr>
              <w:t xml:space="preserve">Amount ascertained</w:t>
            </w:r>
          </w:p>
        </w:tc>
        <w:tc>
          <w:tcPr>
            <w:tcW w:type="dxa" w:w="7562"/>
          </w:tcPr>
          <w:p>
            <w:pPr>
              <w:pStyle w:val="Compact"/>
              <w:spacing w:before="0" w:after="0" w:line="240" w:lineRule="auto"/>
              <w:jc w:val="left"/>
            </w:pPr>
            <w:r>
              <w:rPr>
                <w:sz w:val="21"/>
              </w:rPr>
              <w:t xml:space="preserve">Tax: IGST ₹[ ]; CGST ₹[ ]; SGST ₹[ ]; Cess ₹[ ]; Total ₹[ ]. Interest under section 50([1] / [3]) to [DD.MM.YYYY]: ₹[ ]. [Penalty payable if you pay now: ₹[ ] (para 4).]</w:t>
            </w:r>
          </w:p>
        </w:tc>
      </w:tr>
      <w:tr>
        <w:tc>
          <w:tcPr>
            <w:tcW w:type="dxa" w:w="2076"/>
            <w:shd w:val="clear" w:color="auto" w:fill="F5F8FC"/>
          </w:tcPr>
          <w:p>
            <w:pPr>
              <w:pStyle w:val="Compact"/>
              <w:spacing w:before="0" w:after="0" w:line="240" w:lineRule="auto"/>
              <w:jc w:val="left"/>
            </w:pPr>
            <w:r>
              <w:rPr>
                <w:b/>
                <w:sz w:val="21"/>
              </w:rPr>
              <w:t xml:space="preserve">Reply or payment by</w:t>
            </w:r>
          </w:p>
        </w:tc>
        <w:tc>
          <w:tcPr>
            <w:tcW w:type="dxa" w:w="7562"/>
          </w:tcPr>
          <w:p>
            <w:pPr>
              <w:pStyle w:val="Compact"/>
              <w:spacing w:before="0" w:after="0" w:line="240" w:lineRule="auto"/>
              <w:jc w:val="left"/>
            </w:pPr>
            <w:r>
              <w:rPr>
                <w:bCs/>
                <w:b/>
                <w:sz w:val="21"/>
              </w:rPr>
              <w:t xml:space="preserve">[DD.MM.YYYY]</w:t>
            </w:r>
            <w:r>
              <w:rPr>
                <w:sz w:val="21"/>
              </w:rPr>
              <w:t xml:space="preserve"> </w:t>
            </w:r>
            <w:r>
              <w:rPr>
                <w:sz w:val="21"/>
              </w:rPr>
              <w:t xml:space="preserve">([thirty] days from the date of this intimation)</w:t>
            </w:r>
          </w:p>
        </w:tc>
      </w:tr>
      <w:tr>
        <w:tc>
          <w:tcPr>
            <w:tcW w:type="dxa" w:w="2076"/>
            <w:shd w:val="clear" w:color="auto" w:fill="F5F8FC"/>
          </w:tcPr>
          <w:p>
            <w:pPr>
              <w:pStyle w:val="Compact"/>
              <w:spacing w:before="0" w:after="0" w:line="240" w:lineRule="auto"/>
              <w:jc w:val="left"/>
            </w:pPr>
            <w:r>
              <w:rPr>
                <w:b/>
                <w:sz w:val="21"/>
              </w:rPr>
              <w:t xml:space="preserve">Officer to contact</w:t>
            </w:r>
          </w:p>
        </w:tc>
        <w:tc>
          <w:tcPr>
            <w:tcW w:type="dxa" w:w="7562"/>
          </w:tcPr>
          <w:p>
            <w:pPr>
              <w:pStyle w:val="Compact"/>
              <w:spacing w:before="0" w:after="0" w:line="240" w:lineRule="auto"/>
              <w:jc w:val="left"/>
            </w:pPr>
            <w:r>
              <w:rPr>
                <w:sz w:val="21"/>
              </w:rPr>
              <w:t xml:space="preserve">[Name, designation], Sangareddy CGST Division; telephone 79012 43259; e-mail cgst.sgrdiv@gov.in</w:t>
            </w:r>
          </w:p>
        </w:tc>
      </w:tr>
    </w:tbl>
    <w:p>
      <w:pPr>
        <w:pStyle w:val="BodyText"/>
        <w:keepNext/>
        <w:spacing w:before="240" w:after="80"/>
        <w:pBdr>
          <w:bottom w:val="single" w:sz="6" w:space="1" w:color="B4C6E7"/>
        </w:pBdr>
      </w:pPr>
      <w:r>
        <w:rPr>
          <w:bCs/>
          <w:b/>
          <w:color w:val="1F3864"/>
          <w:sz w:val="25"/>
        </w:rPr>
        <w:t xml:space="preserve">1. Purpose of this intimation</w:t>
      </w:r>
    </w:p>
    <w:p>
      <w:pPr>
        <w:pStyle w:val="BodyText"/>
        <w:spacing w:before="0" w:after="120" w:line="269" w:lineRule="auto"/>
        <w:jc w:val="both"/>
      </w:pPr>
      <w:r>
        <w:t xml:space="preserve">1.1 On [scrutiny of your returns / audit / inquiry / information received from [ ]], this office has ascertained that tax [has not been paid / has been short paid] / input tax credit [has been wrongly availed [and utilised]] for FY [YYYY-YY], as set out below. Before a show cause notice is served, you are given the details so that you may pay the amount or tell this office why you think it is not payable (rule 142(1A) and (2A)).</w:t>
      </w:r>
    </w:p>
    <w:p>
      <w:pPr>
        <w:pStyle w:val="BodyText"/>
        <w:spacing w:before="0" w:after="120" w:line="269" w:lineRule="auto"/>
        <w:jc w:val="both"/>
      </w:pPr>
      <w:r>
        <w:t xml:space="preserve">1.2 This is not a demand and not an order. No penalty is proposed in this intimation [except the amount you may choose to pay under para 4]. If a show cause notice is issued later, your reply to this intimation will be considered and answered in it.</w:t>
      </w:r>
    </w:p>
    <w:p>
      <w:pPr>
        <w:pStyle w:val="BodyText"/>
        <w:keepNext/>
        <w:spacing w:before="240" w:after="80"/>
        <w:pBdr>
          <w:bottom w:val="single" w:sz="6" w:space="1" w:color="B4C6E7"/>
        </w:pBdr>
      </w:pPr>
      <w:r>
        <w:rPr>
          <w:bCs/>
          <w:b/>
          <w:color w:val="1F3864"/>
          <w:sz w:val="25"/>
        </w:rPr>
        <w:t xml:space="preserve">2. What has been ascertained</w:t>
      </w:r>
    </w:p>
    <w:p>
      <w:pPr>
        <w:pStyle w:val="BodyText"/>
        <w:keepNext/>
        <w:spacing w:before="240" w:after="80"/>
        <w:pBdr>
          <w:bottom w:val="single" w:sz="6" w:space="1" w:color="B4C6E7"/>
        </w:pBdr>
      </w:pPr>
      <w:r>
        <w:rPr>
          <w:bCs/>
          <w:b/>
          <w:color w:val="1F3864"/>
          <w:sz w:val="25"/>
        </w:rPr>
        <w:t xml:space="preserve">2.1 Issue 1: [short title]</w:t>
      </w:r>
    </w:p>
    <w:p>
      <w:pPr>
        <w:pStyle w:val="BodyText"/>
        <w:spacing w:before="0" w:after="120" w:line="269" w:lineRule="auto"/>
        <w:jc w:val="both"/>
      </w:pPr>
      <w:r>
        <w:t xml:space="preserve">2.1.1 [Facts found: the returns or records compared, the period, the figures. Keep it short but specific, as in A2 module [ ]: what was found, where, and the provision that appears to be breached, e.g. </w:t>
      </w:r>
      <w:r>
        <w:t xml:space="preserve">“</w:t>
      </w:r>
      <w:r>
        <w:t xml:space="preserve">Credit of ₹[ ] availed in GSTR-3B Table 4(A)(5) for [months] exceeds the credit available in GSTR-2B by ₹[ ]; under section 16(2)(aa) read with rule 36(4), credit is available only on invoices communicated in GSTR-2B.</w:t>
      </w:r>
      <w:r>
        <w:t xml:space="preserve">”</w:t>
      </w:r>
      <w:r>
        <w:t xml:space="preserve">]</w:t>
      </w:r>
    </w:p>
    <w:p>
      <w:pPr>
        <w:pStyle w:val="BodyText"/>
        <w:spacing w:before="0" w:after="120" w:line="269" w:lineRule="auto"/>
      </w:pPr>
      <w:r>
        <w:t xml:space="preserve">2.1.2 The working sheet is enclosed as</w:t>
      </w:r>
      <w:r>
        <w:t xml:space="preserve"> </w:t>
      </w:r>
      <w:r>
        <w:rPr>
          <w:bCs/>
          <w:b/>
        </w:rPr>
        <w:t xml:space="preserve">Statement 1</w:t>
      </w:r>
      <w:r>
        <w:t xml:space="preserve"> </w:t>
      </w:r>
      <w:r>
        <w:t xml:space="preserve">[invoice-wise / supplier-wise / month-wise].</w:t>
      </w:r>
    </w:p>
    <w:p>
      <w:pPr>
        <w:pStyle w:val="BodyText"/>
        <w:keepNext/>
        <w:spacing w:before="240" w:after="80"/>
        <w:pBdr>
          <w:bottom w:val="single" w:sz="6" w:space="1" w:color="B4C6E7"/>
        </w:pBdr>
      </w:pPr>
      <w:r>
        <w:rPr>
          <w:bCs/>
          <w:b/>
          <w:color w:val="1F3864"/>
          <w:sz w:val="25"/>
        </w:rPr>
        <w:t xml:space="preserve">2.2 Issue 2: [short title]</w:t>
      </w:r>
    </w:p>
    <w:p>
      <w:pPr>
        <w:pStyle w:val="BodyText"/>
        <w:spacing w:before="0" w:after="120" w:line="269" w:lineRule="auto"/>
      </w:pPr>
      <w:r>
        <w:t xml:space="preserve">2.2.1 [ ]</w:t>
      </w:r>
    </w:p>
    <w:p>
      <w:pPr>
        <w:pStyle w:val="BodyText"/>
        <w:keepNext/>
        <w:spacing w:before="240" w:after="80"/>
        <w:pBdr>
          <w:bottom w:val="single" w:sz="6" w:space="1" w:color="B4C6E7"/>
        </w:pBdr>
      </w:pPr>
      <w:r>
        <w:rPr>
          <w:bCs/>
          <w:b/>
          <w:color w:val="1F3864"/>
          <w:sz w:val="25"/>
        </w:rPr>
        <w:t xml:space="preserve">3. Amounts ascertained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83"/>
        <w:gridCol w:w="1377"/>
        <w:gridCol w:w="1082"/>
        <w:gridCol w:w="983"/>
        <w:gridCol w:w="983"/>
        <w:gridCol w:w="983"/>
        <w:gridCol w:w="983"/>
        <w:gridCol w:w="983"/>
        <w:gridCol w:w="1279"/>
      </w:tblGrid>
      <w:tr>
        <w:trPr>
          <w:tblHeader w:val="true"/>
          <w:tblHeader/>
        </w:trPr>
        <w:tc>
          <w:tcPr>
            <w:tcW w:type="dxa" w:w="983"/>
            <w:shd w:val="clear" w:color="auto" w:fill="DCE6F1"/>
          </w:tcPr>
          <w:p>
            <w:pPr>
              <w:pStyle w:val="Compact"/>
              <w:spacing w:before="0" w:after="0" w:line="240" w:lineRule="auto"/>
              <w:jc w:val="left"/>
            </w:pPr>
            <w:r>
              <w:rPr>
                <w:b/>
                <w:color w:val="1F3864"/>
                <w:sz w:val="18"/>
              </w:rPr>
              <w:t xml:space="preserve">Issue</w:t>
            </w:r>
          </w:p>
        </w:tc>
        <w:tc>
          <w:tcPr>
            <w:tcW w:type="dxa" w:w="1377"/>
            <w:shd w:val="clear" w:color="auto" w:fill="DCE6F1"/>
          </w:tcPr>
          <w:p>
            <w:pPr>
              <w:pStyle w:val="Compact"/>
              <w:spacing w:before="0" w:after="0" w:line="240" w:lineRule="auto"/>
              <w:jc w:val="left"/>
            </w:pPr>
            <w:r>
              <w:rPr>
                <w:b/>
                <w:color w:val="1F3864"/>
                <w:sz w:val="18"/>
              </w:rPr>
              <w:t xml:space="preserve">Provision</w:t>
            </w:r>
          </w:p>
        </w:tc>
        <w:tc>
          <w:tcPr>
            <w:tcW w:type="dxa" w:w="1082"/>
            <w:shd w:val="clear" w:color="auto" w:fill="DCE6F1"/>
          </w:tcPr>
          <w:p>
            <w:pPr>
              <w:pStyle w:val="Compact"/>
              <w:spacing w:before="0" w:after="0" w:line="240" w:lineRule="auto"/>
              <w:jc w:val="left"/>
            </w:pPr>
            <w:r>
              <w:rPr>
                <w:b/>
                <w:color w:val="1F3864"/>
                <w:sz w:val="18"/>
              </w:rPr>
              <w:t xml:space="preserve">Period</w:t>
            </w:r>
          </w:p>
        </w:tc>
        <w:tc>
          <w:tcPr>
            <w:tcW w:type="dxa" w:w="983"/>
            <w:shd w:val="clear" w:color="auto" w:fill="DCE6F1"/>
          </w:tcPr>
          <w:p>
            <w:pPr>
              <w:pStyle w:val="Compact"/>
              <w:spacing w:before="0" w:after="0" w:line="240" w:lineRule="auto"/>
              <w:jc w:val="left"/>
            </w:pPr>
            <w:r>
              <w:rPr>
                <w:b/>
                <w:color w:val="1F3864"/>
                <w:sz w:val="18"/>
              </w:rPr>
              <w:t xml:space="preserve">IGST (₹)</w:t>
            </w:r>
          </w:p>
        </w:tc>
        <w:tc>
          <w:tcPr>
            <w:tcW w:type="dxa" w:w="983"/>
            <w:shd w:val="clear" w:color="auto" w:fill="DCE6F1"/>
          </w:tcPr>
          <w:p>
            <w:pPr>
              <w:pStyle w:val="Compact"/>
              <w:spacing w:before="0" w:after="0" w:line="240" w:lineRule="auto"/>
              <w:jc w:val="left"/>
            </w:pPr>
            <w:r>
              <w:rPr>
                <w:b/>
                <w:color w:val="1F3864"/>
                <w:sz w:val="18"/>
              </w:rPr>
              <w:t xml:space="preserve">CGST (₹)</w:t>
            </w:r>
          </w:p>
        </w:tc>
        <w:tc>
          <w:tcPr>
            <w:tcW w:type="dxa" w:w="983"/>
            <w:shd w:val="clear" w:color="auto" w:fill="DCE6F1"/>
          </w:tcPr>
          <w:p>
            <w:pPr>
              <w:pStyle w:val="Compact"/>
              <w:spacing w:before="0" w:after="0" w:line="240" w:lineRule="auto"/>
              <w:jc w:val="left"/>
            </w:pPr>
            <w:r>
              <w:rPr>
                <w:b/>
                <w:color w:val="1F3864"/>
                <w:sz w:val="18"/>
              </w:rPr>
              <w:t xml:space="preserve">SGST (₹)</w:t>
            </w:r>
          </w:p>
        </w:tc>
        <w:tc>
          <w:tcPr>
            <w:tcW w:type="dxa" w:w="983"/>
            <w:shd w:val="clear" w:color="auto" w:fill="DCE6F1"/>
          </w:tcPr>
          <w:p>
            <w:pPr>
              <w:pStyle w:val="Compact"/>
              <w:spacing w:before="0" w:after="0" w:line="240" w:lineRule="auto"/>
              <w:jc w:val="left"/>
            </w:pPr>
            <w:r>
              <w:rPr>
                <w:b/>
                <w:color w:val="1F3864"/>
                <w:sz w:val="18"/>
              </w:rPr>
              <w:t xml:space="preserve">Cess (₹)</w:t>
            </w:r>
          </w:p>
        </w:tc>
        <w:tc>
          <w:tcPr>
            <w:tcW w:type="dxa" w:w="983"/>
            <w:shd w:val="clear" w:color="auto" w:fill="DCE6F1"/>
          </w:tcPr>
          <w:p>
            <w:pPr>
              <w:pStyle w:val="Compact"/>
              <w:spacing w:before="0" w:after="0" w:line="240" w:lineRule="auto"/>
              <w:jc w:val="left"/>
            </w:pPr>
            <w:r>
              <w:rPr>
                <w:b/>
                <w:color w:val="1F3864"/>
                <w:sz w:val="18"/>
              </w:rPr>
              <w:t xml:space="preserve">Total tax (₹)</w:t>
            </w:r>
          </w:p>
        </w:tc>
        <w:tc>
          <w:tcPr>
            <w:tcW w:type="dxa" w:w="1279"/>
            <w:shd w:val="clear" w:color="auto" w:fill="DCE6F1"/>
          </w:tcPr>
          <w:p>
            <w:pPr>
              <w:pStyle w:val="Compact"/>
              <w:spacing w:before="0" w:after="0" w:line="240" w:lineRule="auto"/>
              <w:jc w:val="left"/>
            </w:pPr>
            <w:r>
              <w:rPr>
                <w:b/>
                <w:color w:val="1F3864"/>
                <w:sz w:val="18"/>
              </w:rPr>
              <w:t xml:space="preserve">Interest to [date] (₹)</w:t>
            </w:r>
          </w:p>
        </w:tc>
      </w:tr>
      <w:tr>
        <w:tc>
          <w:tcPr>
            <w:tcW w:type="dxa" w:w="983"/>
          </w:tcPr>
          <w:p>
            <w:pPr>
              <w:pStyle w:val="Compact"/>
              <w:spacing w:before="0" w:after="0" w:line="240" w:lineRule="auto"/>
              <w:jc w:val="left"/>
            </w:pPr>
            <w:r>
              <w:rPr>
                <w:sz w:val="18"/>
              </w:rPr>
              <w:t xml:space="preserve">1</w:t>
            </w:r>
          </w:p>
        </w:tc>
        <w:tc>
          <w:tcPr>
            <w:tcW w:type="dxa" w:w="1377"/>
          </w:tcPr>
          <w:p>
            <w:pPr>
              <w:pStyle w:val="Compact"/>
              <w:spacing w:before="0" w:after="0" w:line="240" w:lineRule="auto"/>
              <w:jc w:val="left"/>
            </w:pPr>
            <w:r>
              <w:rPr>
                <w:sz w:val="18"/>
              </w:rPr>
              <w:t xml:space="preserve">[ ]</w:t>
            </w:r>
          </w:p>
        </w:tc>
        <w:tc>
          <w:tcPr>
            <w:tcW w:type="dxa" w:w="1082"/>
          </w:tcPr>
          <w:p>
            <w:pPr>
              <w:pStyle w:val="Compact"/>
              <w:spacing w:before="0" w:after="0" w:line="240" w:lineRule="auto"/>
              <w:jc w:val="left"/>
            </w:pPr>
            <w:r>
              <w:rPr>
                <w:sz w:val="18"/>
              </w:rPr>
              <w:t xml:space="preserve">[ ]</w:t>
            </w:r>
          </w:p>
        </w:tc>
        <w:tc>
          <w:tcPr>
            <w:tcW w:type="dxa" w:w="983"/>
          </w:tcPr>
          <w:p>
            <w:pPr>
              <w:pStyle w:val="Compact"/>
              <w:spacing w:before="0" w:after="0" w:line="240" w:lineRule="auto"/>
              <w:jc w:val="left"/>
            </w:pPr>
            <w:r>
              <w:rPr>
                <w:sz w:val="18"/>
              </w:rPr>
              <w:t xml:space="preserve">[ ]</w:t>
            </w:r>
          </w:p>
        </w:tc>
        <w:tc>
          <w:tcPr>
            <w:tcW w:type="dxa" w:w="983"/>
          </w:tcPr>
          <w:p>
            <w:pPr>
              <w:pStyle w:val="Compact"/>
              <w:spacing w:before="0" w:after="0" w:line="240" w:lineRule="auto"/>
              <w:jc w:val="left"/>
            </w:pPr>
            <w:r>
              <w:rPr>
                <w:sz w:val="18"/>
              </w:rPr>
              <w:t xml:space="preserve">[ ]</w:t>
            </w:r>
          </w:p>
        </w:tc>
        <w:tc>
          <w:tcPr>
            <w:tcW w:type="dxa" w:w="983"/>
          </w:tcPr>
          <w:p>
            <w:pPr>
              <w:pStyle w:val="Compact"/>
              <w:spacing w:before="0" w:after="0" w:line="240" w:lineRule="auto"/>
              <w:jc w:val="left"/>
            </w:pPr>
            <w:r>
              <w:rPr>
                <w:sz w:val="18"/>
              </w:rPr>
              <w:t xml:space="preserve">[ ]</w:t>
            </w:r>
          </w:p>
        </w:tc>
        <w:tc>
          <w:tcPr>
            <w:tcW w:type="dxa" w:w="983"/>
          </w:tcPr>
          <w:p>
            <w:pPr>
              <w:pStyle w:val="Compact"/>
              <w:spacing w:before="0" w:after="0" w:line="240" w:lineRule="auto"/>
              <w:jc w:val="left"/>
            </w:pPr>
            <w:r>
              <w:rPr>
                <w:sz w:val="18"/>
              </w:rPr>
              <w:t xml:space="preserve">[ ]</w:t>
            </w:r>
          </w:p>
        </w:tc>
        <w:tc>
          <w:tcPr>
            <w:tcW w:type="dxa" w:w="983"/>
          </w:tcPr>
          <w:p>
            <w:pPr>
              <w:pStyle w:val="Compact"/>
              <w:spacing w:before="0" w:after="0" w:line="240" w:lineRule="auto"/>
              <w:jc w:val="left"/>
            </w:pPr>
            <w:r>
              <w:rPr>
                <w:sz w:val="18"/>
              </w:rPr>
              <w:t xml:space="preserve">[ ]</w:t>
            </w:r>
          </w:p>
        </w:tc>
        <w:tc>
          <w:tcPr>
            <w:tcW w:type="dxa" w:w="1279"/>
          </w:tcPr>
          <w:p>
            <w:pPr>
              <w:pStyle w:val="Compact"/>
              <w:spacing w:before="0" w:after="0" w:line="240" w:lineRule="auto"/>
              <w:jc w:val="left"/>
            </w:pPr>
            <w:r>
              <w:rPr>
                <w:sz w:val="18"/>
              </w:rPr>
              <w:t xml:space="preserve">[ ]</w:t>
            </w:r>
          </w:p>
        </w:tc>
      </w:tr>
      <w:tr>
        <w:tc>
          <w:tcPr>
            <w:tcW w:type="dxa" w:w="983"/>
          </w:tcPr>
          <w:p>
            <w:pPr>
              <w:pStyle w:val="Compact"/>
              <w:spacing w:before="0" w:after="0" w:line="240" w:lineRule="auto"/>
              <w:jc w:val="left"/>
            </w:pPr>
            <w:r>
              <w:rPr>
                <w:sz w:val="18"/>
              </w:rPr>
              <w:t xml:space="preserve">2</w:t>
            </w:r>
          </w:p>
        </w:tc>
        <w:tc>
          <w:tcPr>
            <w:tcW w:type="dxa" w:w="1377"/>
          </w:tcPr>
          <w:p>
            <w:pPr>
              <w:pStyle w:val="Compact"/>
              <w:spacing w:before="0" w:after="0" w:line="240" w:lineRule="auto"/>
              <w:jc w:val="left"/>
            </w:pPr>
            <w:r>
              <w:rPr>
                <w:sz w:val="18"/>
              </w:rPr>
              <w:t xml:space="preserve">[ ]</w:t>
            </w:r>
          </w:p>
        </w:tc>
        <w:tc>
          <w:tcPr>
            <w:tcW w:type="dxa" w:w="1082"/>
          </w:tcPr>
          <w:p>
            <w:pPr>
              <w:pStyle w:val="Compact"/>
              <w:spacing w:before="0" w:after="0" w:line="240" w:lineRule="auto"/>
              <w:jc w:val="left"/>
            </w:pPr>
            <w:r>
              <w:rPr>
                <w:sz w:val="18"/>
              </w:rPr>
              <w:t xml:space="preserve">[ ]</w:t>
            </w:r>
          </w:p>
        </w:tc>
        <w:tc>
          <w:tcPr>
            <w:tcW w:type="dxa" w:w="983"/>
          </w:tcPr>
          <w:p>
            <w:pPr>
              <w:pStyle w:val="Compact"/>
              <w:spacing w:before="0" w:after="0" w:line="240" w:lineRule="auto"/>
              <w:jc w:val="left"/>
            </w:pPr>
            <w:r>
              <w:rPr>
                <w:sz w:val="18"/>
              </w:rPr>
              <w:t xml:space="preserve">[ ]</w:t>
            </w:r>
          </w:p>
        </w:tc>
        <w:tc>
          <w:tcPr>
            <w:tcW w:type="dxa" w:w="983"/>
          </w:tcPr>
          <w:p>
            <w:pPr>
              <w:pStyle w:val="Compact"/>
              <w:spacing w:before="0" w:after="0" w:line="240" w:lineRule="auto"/>
              <w:jc w:val="left"/>
            </w:pPr>
            <w:r>
              <w:rPr>
                <w:sz w:val="18"/>
              </w:rPr>
              <w:t xml:space="preserve">[ ]</w:t>
            </w:r>
          </w:p>
        </w:tc>
        <w:tc>
          <w:tcPr>
            <w:tcW w:type="dxa" w:w="983"/>
          </w:tcPr>
          <w:p>
            <w:pPr>
              <w:pStyle w:val="Compact"/>
              <w:spacing w:before="0" w:after="0" w:line="240" w:lineRule="auto"/>
              <w:jc w:val="left"/>
            </w:pPr>
            <w:r>
              <w:rPr>
                <w:sz w:val="18"/>
              </w:rPr>
              <w:t xml:space="preserve">[ ]</w:t>
            </w:r>
          </w:p>
        </w:tc>
        <w:tc>
          <w:tcPr>
            <w:tcW w:type="dxa" w:w="983"/>
          </w:tcPr>
          <w:p>
            <w:pPr>
              <w:pStyle w:val="Compact"/>
              <w:spacing w:before="0" w:after="0" w:line="240" w:lineRule="auto"/>
              <w:jc w:val="left"/>
            </w:pPr>
            <w:r>
              <w:rPr>
                <w:sz w:val="18"/>
              </w:rPr>
              <w:t xml:space="preserve">[ ]</w:t>
            </w:r>
          </w:p>
        </w:tc>
        <w:tc>
          <w:tcPr>
            <w:tcW w:type="dxa" w:w="983"/>
          </w:tcPr>
          <w:p>
            <w:pPr>
              <w:pStyle w:val="Compact"/>
              <w:spacing w:before="0" w:after="0" w:line="240" w:lineRule="auto"/>
              <w:jc w:val="left"/>
            </w:pPr>
            <w:r>
              <w:rPr>
                <w:sz w:val="18"/>
              </w:rPr>
              <w:t xml:space="preserve">[ ]</w:t>
            </w:r>
          </w:p>
        </w:tc>
        <w:tc>
          <w:tcPr>
            <w:tcW w:type="dxa" w:w="1279"/>
          </w:tcPr>
          <w:p>
            <w:pPr>
              <w:pStyle w:val="Compact"/>
              <w:spacing w:before="0" w:after="0" w:line="240" w:lineRule="auto"/>
              <w:jc w:val="left"/>
            </w:pPr>
            <w:r>
              <w:rPr>
                <w:sz w:val="18"/>
              </w:rPr>
              <w:t xml:space="preserve">[ ]</w:t>
            </w:r>
          </w:p>
        </w:tc>
      </w:tr>
      <w:tr>
        <w:tc>
          <w:tcPr>
            <w:tcW w:type="dxa" w:w="983"/>
            <w:shd w:val="clear" w:color="auto" w:fill="F2F2F2"/>
          </w:tcPr>
          <w:p>
            <w:pPr>
              <w:pStyle w:val="Compact"/>
              <w:spacing w:before="0" w:after="0" w:line="240" w:lineRule="auto"/>
              <w:jc w:val="left"/>
            </w:pPr>
            <w:r>
              <w:rPr>
                <w:sz w:val="18"/>
              </w:rPr>
              <w:t xml:space="preserve">Total</w:t>
            </w:r>
          </w:p>
        </w:tc>
        <w:tc>
          <w:tcPr>
            <w:tcW w:type="dxa" w:w="1377"/>
            <w:shd w:val="clear" w:color="auto" w:fill="F2F2F2"/>
          </w:tcPr>
          <w:p>
            <w:pPr>
              <w:pStyle w:val="Compact"/>
              <w:spacing w:before="0" w:after="0" w:line="240" w:lineRule="auto"/>
            </w:pPr>
          </w:p>
        </w:tc>
        <w:tc>
          <w:tcPr>
            <w:tcW w:type="dxa" w:w="1082"/>
            <w:shd w:val="clear" w:color="auto" w:fill="F2F2F2"/>
          </w:tcPr>
          <w:p>
            <w:pPr>
              <w:pStyle w:val="Compact"/>
              <w:spacing w:before="0" w:after="0" w:line="240" w:lineRule="auto"/>
            </w:pPr>
          </w:p>
        </w:tc>
        <w:tc>
          <w:tcPr>
            <w:tcW w:type="dxa" w:w="983"/>
            <w:shd w:val="clear" w:color="auto" w:fill="F2F2F2"/>
          </w:tcPr>
          <w:p>
            <w:pPr>
              <w:pStyle w:val="Compact"/>
              <w:spacing w:before="0" w:after="0" w:line="240" w:lineRule="auto"/>
              <w:jc w:val="left"/>
            </w:pPr>
            <w:r>
              <w:rPr>
                <w:sz w:val="18"/>
              </w:rPr>
              <w:t xml:space="preserve">[ ]</w:t>
            </w:r>
          </w:p>
        </w:tc>
        <w:tc>
          <w:tcPr>
            <w:tcW w:type="dxa" w:w="983"/>
            <w:shd w:val="clear" w:color="auto" w:fill="F2F2F2"/>
          </w:tcPr>
          <w:p>
            <w:pPr>
              <w:pStyle w:val="Compact"/>
              <w:spacing w:before="0" w:after="0" w:line="240" w:lineRule="auto"/>
              <w:jc w:val="left"/>
            </w:pPr>
            <w:r>
              <w:rPr>
                <w:sz w:val="18"/>
              </w:rPr>
              <w:t xml:space="preserve">[ ]</w:t>
            </w:r>
          </w:p>
        </w:tc>
        <w:tc>
          <w:tcPr>
            <w:tcW w:type="dxa" w:w="983"/>
            <w:shd w:val="clear" w:color="auto" w:fill="F2F2F2"/>
          </w:tcPr>
          <w:p>
            <w:pPr>
              <w:pStyle w:val="Compact"/>
              <w:spacing w:before="0" w:after="0" w:line="240" w:lineRule="auto"/>
              <w:jc w:val="left"/>
            </w:pPr>
            <w:r>
              <w:rPr>
                <w:sz w:val="18"/>
              </w:rPr>
              <w:t xml:space="preserve">[ ]</w:t>
            </w:r>
          </w:p>
        </w:tc>
        <w:tc>
          <w:tcPr>
            <w:tcW w:type="dxa" w:w="983"/>
            <w:shd w:val="clear" w:color="auto" w:fill="F2F2F2"/>
          </w:tcPr>
          <w:p>
            <w:pPr>
              <w:pStyle w:val="Compact"/>
              <w:spacing w:before="0" w:after="0" w:line="240" w:lineRule="auto"/>
              <w:jc w:val="left"/>
            </w:pPr>
            <w:r>
              <w:rPr>
                <w:sz w:val="18"/>
              </w:rPr>
              <w:t xml:space="preserve">[ ]</w:t>
            </w:r>
          </w:p>
        </w:tc>
        <w:tc>
          <w:tcPr>
            <w:tcW w:type="dxa" w:w="983"/>
            <w:shd w:val="clear" w:color="auto" w:fill="F2F2F2"/>
          </w:tcPr>
          <w:p>
            <w:pPr>
              <w:pStyle w:val="Compact"/>
              <w:spacing w:before="0" w:after="0" w:line="240" w:lineRule="auto"/>
              <w:jc w:val="left"/>
            </w:pPr>
            <w:r>
              <w:rPr>
                <w:sz w:val="18"/>
              </w:rPr>
              <w:t xml:space="preserve">[ ]</w:t>
            </w:r>
          </w:p>
        </w:tc>
        <w:tc>
          <w:tcPr>
            <w:tcW w:type="dxa" w:w="1279"/>
            <w:shd w:val="clear" w:color="auto" w:fill="F2F2F2"/>
          </w:tcPr>
          <w:p>
            <w:pPr>
              <w:pStyle w:val="Compact"/>
              <w:spacing w:before="0" w:after="0" w:line="240" w:lineRule="auto"/>
              <w:jc w:val="left"/>
            </w:pPr>
            <w:r>
              <w:rPr>
                <w:sz w:val="18"/>
              </w:rPr>
              <w:t xml:space="preserve">[ ]</w:t>
            </w:r>
          </w:p>
        </w:tc>
      </w:tr>
    </w:tbl>
    <w:p>
      <w:pPr>
        <w:pStyle w:val="BodyText"/>
        <w:spacing w:before="0" w:after="120" w:line="269" w:lineRule="auto"/>
        <w:jc w:val="both"/>
      </w:pPr>
      <w:r>
        <w:t xml:space="preserve">3.1 Interest is under section [50(1)] [50(3)] and runs until the date of payment. [For section 50(3): it is computed only for the period in which the balance in your electronic credit ledger was below the credit in question (rule 88B(3)); the computation is in Statement 2.]</w:t>
      </w:r>
    </w:p>
    <w:p>
      <w:pPr>
        <w:pStyle w:val="BodyText"/>
        <w:keepNext/>
        <w:spacing w:before="240" w:after="80"/>
        <w:pBdr>
          <w:bottom w:val="single" w:sz="6" w:space="1" w:color="B4C6E7"/>
        </w:pBdr>
      </w:pPr>
      <w:r>
        <w:rPr>
          <w:bCs/>
          <w:b/>
          <w:color w:val="1F3864"/>
          <w:sz w:val="25"/>
        </w:rPr>
        <w:t xml:space="preserve">4. Your options</w:t>
      </w:r>
    </w:p>
    <w:p>
      <w:pPr>
        <w:pStyle w:val="BodyText"/>
        <w:spacing w:before="0" w:after="120" w:line="269" w:lineRule="auto"/>
        <w:jc w:val="both"/>
      </w:pPr>
      <w:r>
        <w:t xml:space="preserve">4.1</w:t>
      </w:r>
      <w:r>
        <w:t xml:space="preserve"> </w:t>
      </w:r>
      <w:r>
        <w:rPr>
          <w:bCs/>
          <w:b/>
        </w:rPr>
        <w:t xml:space="preserve">Option 1: pay before a notice is served.</w:t>
      </w:r>
      <w:r>
        <w:t xml:space="preserve"> </w:t>
      </w:r>
      <w:r>
        <w:t xml:space="preserve">-</w:t>
      </w:r>
      <w:r>
        <w:t xml:space="preserve"> </w:t>
      </w:r>
      <w:r>
        <w:rPr>
          <w:bCs/>
          <w:b/>
        </w:rPr>
        <w:t xml:space="preserve">[S.73]</w:t>
      </w:r>
      <w:r>
        <w:t xml:space="preserve"> </w:t>
      </w:r>
      <w:r>
        <w:t xml:space="preserve">If you pay the tax with interest under section 50 and inform this office in FORM GST DRC-03, no show cause notice will be served for the tax so paid, and no penalty is payable on it (section 73(5) and (6)).</w:t>
      </w:r>
      <w:r>
        <w:t xml:space="preserve"> </w:t>
      </w:r>
      <w:r>
        <w:t xml:space="preserve">-</w:t>
      </w:r>
      <w:r>
        <w:t xml:space="preserve"> </w:t>
      </w:r>
      <w:r>
        <w:rPr>
          <w:bCs/>
          <w:b/>
        </w:rPr>
        <w:t xml:space="preserve">[S.74]</w:t>
      </w:r>
      <w:r>
        <w:t xml:space="preserve"> </w:t>
      </w:r>
      <w:r>
        <w:t xml:space="preserve">If you pay the tax with interest under section 50 and a penalty of fifteen per cent of the tax, and inform this office in FORM GST DRC-03, no show cause notice will be served for the tax so paid (section 74(5) and (6)).</w:t>
      </w:r>
      <w:r>
        <w:t xml:space="preserve"> </w:t>
      </w:r>
      <w:r>
        <w:t xml:space="preserve">-</w:t>
      </w:r>
      <w:r>
        <w:t xml:space="preserve"> </w:t>
      </w:r>
      <w:r>
        <w:rPr>
          <w:bCs/>
          <w:b/>
        </w:rPr>
        <w:t xml:space="preserve">[S.74A(i)]</w:t>
      </w:r>
      <w:r>
        <w:t xml:space="preserve"> </w:t>
      </w:r>
      <w:r>
        <w:t xml:space="preserve">If you pay the tax with interest under section 50 and inform this office in FORM GST DRC-03, no show cause notice will be served for the tax so paid, and no penalty is payable on it (section 74A(8)(i)).</w:t>
      </w:r>
      <w:r>
        <w:t xml:space="preserve"> </w:t>
      </w:r>
      <w:r>
        <w:t xml:space="preserve">-</w:t>
      </w:r>
      <w:r>
        <w:t xml:space="preserve"> </w:t>
      </w:r>
      <w:r>
        <w:rPr>
          <w:bCs/>
          <w:b/>
        </w:rPr>
        <w:t xml:space="preserve">[S.74A(ii)]</w:t>
      </w:r>
      <w:r>
        <w:t xml:space="preserve"> </w:t>
      </w:r>
      <w:r>
        <w:t xml:space="preserve">If you pay the tax with interest under section 50 and a penalty of fifteen per cent of the tax, and inform this office in FORM GST DRC-03, no show cause notice will be served for the tax so paid (section 74A(9)(i)).</w:t>
      </w:r>
    </w:p>
    <w:p>
      <w:pPr>
        <w:pStyle w:val="BodyText"/>
        <w:spacing w:before="0" w:after="120" w:line="269" w:lineRule="auto"/>
        <w:jc w:val="both"/>
      </w:pPr>
      <w:r>
        <w:t xml:space="preserve">The portal will acknowledge the payment in FORM GST DRC-04 (rule 142(2)). If the amount paid falls short of the amount payable, a notice may be served for the shortfall only (section [73(7)] [74(7)] [74A(10)]).</w:t>
      </w:r>
    </w:p>
    <w:p>
      <w:pPr>
        <w:pStyle w:val="BodyText"/>
        <w:spacing w:before="0" w:after="120" w:line="269" w:lineRule="auto"/>
        <w:jc w:val="both"/>
      </w:pPr>
      <w:r>
        <w:t xml:space="preserve">4.2</w:t>
      </w:r>
      <w:r>
        <w:t xml:space="preserve"> </w:t>
      </w:r>
      <w:r>
        <w:rPr>
          <w:bCs/>
          <w:b/>
        </w:rPr>
        <w:t xml:space="preserve">Option 2: make submissions.</w:t>
      </w:r>
      <w:r>
        <w:t xml:space="preserve"> </w:t>
      </w:r>
      <w:r>
        <w:t xml:space="preserve">If you disagree with all or part of the amount, or have paid part of it, you may say so in</w:t>
      </w:r>
      <w:r>
        <w:t xml:space="preserve"> </w:t>
      </w:r>
      <w:r>
        <w:rPr>
          <w:bCs/>
          <w:b/>
        </w:rPr>
        <w:t xml:space="preserve">Part B of FORM GST DRC-01A</w:t>
      </w:r>
      <w:r>
        <w:t xml:space="preserve"> </w:t>
      </w:r>
      <w:r>
        <w:t xml:space="preserve">on the common portal by</w:t>
      </w:r>
      <w:r>
        <w:t xml:space="preserve"> </w:t>
      </w:r>
      <w:r>
        <w:rPr>
          <w:bCs/>
          <w:b/>
        </w:rPr>
        <w:t xml:space="preserve">[DD.MM.YYYY]</w:t>
      </w:r>
      <w:r>
        <w:t xml:space="preserve">, with the documents you rely on (rule 142(2A)). Please answer each issue separately. In particular, you may produce [for Issue 1: evidence that the invoices in Statement 1 appear in GSTR-2B of a later month, or were reversed] [for Issue 2: [ ]].</w:t>
      </w:r>
    </w:p>
    <w:p>
      <w:pPr>
        <w:pStyle w:val="BodyText"/>
        <w:spacing w:before="0" w:after="120" w:line="269" w:lineRule="auto"/>
        <w:jc w:val="both"/>
      </w:pPr>
      <w:r>
        <w:t xml:space="preserve">4.3</w:t>
      </w:r>
      <w:r>
        <w:t xml:space="preserve"> </w:t>
      </w:r>
      <w:r>
        <w:rPr>
          <w:bCs/>
          <w:b/>
        </w:rPr>
        <w:t xml:space="preserve">What happens next.</w:t>
      </w:r>
      <w:r>
        <w:t xml:space="preserve"> </w:t>
      </w:r>
      <w:r>
        <w:t xml:space="preserve">If this office accepts your payment or your submissions, or both, it will say so in</w:t>
      </w:r>
      <w:r>
        <w:t xml:space="preserve"> </w:t>
      </w:r>
      <w:r>
        <w:rPr>
          <w:bCs/>
          <w:b/>
        </w:rPr>
        <w:t xml:space="preserve">Part C of FORM GST DRC-01A</w:t>
      </w:r>
      <w:r>
        <w:t xml:space="preserve"> </w:t>
      </w:r>
      <w:r>
        <w:t xml:space="preserve">(rule 142(2A)). If not, a show cause notice may be issued under section [73(1)] [74(1)] [74A(1)], which will deal with your submissions; the notice will not be issued before</w:t>
      </w:r>
      <w:r>
        <w:t xml:space="preserve"> </w:t>
      </w:r>
      <w:r>
        <w:rPr>
          <w:bCs/>
          <w:b/>
        </w:rPr>
        <w:t xml:space="preserve">[DD.MM.YYYY]</w:t>
      </w:r>
      <w:r>
        <w:t xml:space="preserve">. You may also ask to meet the officer named above before that date to explain your case.</w:t>
      </w:r>
    </w:p>
    <w:p>
      <w:pPr>
        <w:pStyle w:val="BodyText"/>
        <w:spacing w:before="0" w:after="120" w:line="269" w:lineRule="auto"/>
      </w:pPr>
      <w:r>
        <w:t xml:space="preserve">4.4 If nothing is received by</w:t>
      </w:r>
      <w:r>
        <w:t xml:space="preserve"> </w:t>
      </w:r>
      <w:r>
        <w:rPr>
          <w:bCs/>
          <w:b/>
        </w:rPr>
        <w:t xml:space="preserve">[DD.MM.YYYY]</w:t>
      </w:r>
      <w:r>
        <w:t xml:space="preserve">, this office will proceed on the record available.</w:t>
      </w:r>
    </w:p>
    <w:p>
      <w:pPr>
        <w:pStyle w:val="BodyText"/>
        <w:keepNext/>
        <w:spacing w:before="240" w:after="80"/>
        <w:pBdr>
          <w:bottom w:val="single" w:sz="6" w:space="1" w:color="B4C6E7"/>
        </w:pBdr>
      </w:pPr>
      <w:r>
        <w:rPr>
          <w:bCs/>
          <w:b/>
          <w:color w:val="1F3864"/>
          <w:sz w:val="25"/>
        </w:rPr>
        <w:t xml:space="preserve">5. Documents enclosed</w:t>
      </w:r>
    </w:p>
    <w:p>
      <w:pPr>
        <w:pStyle w:val="BodyText"/>
        <w:spacing w:before="0" w:after="120" w:line="269" w:lineRule="auto"/>
        <w:jc w:val="both"/>
      </w:pPr>
      <w:r>
        <w:t xml:space="preserve">5.1 (1) Statement 1: [working sheet for Issue 1]; (2) Statement 2: [interest computation]; (3) [extract of [GSTR-2B / ledger / report] relied on]. Copies of any third-party information relied on are enclosed.</w:t>
      </w:r>
    </w:p>
    <w:p>
      <w:pPr>
        <w:pStyle w:val="BodyText"/>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r>
        <w:br/>
      </w:r>
      <w:r>
        <w:t xml:space="preserve">(digitally signed)</w:t>
      </w:r>
    </w:p>
    <w:p>
      <w:pPr>
        <w:pStyle w:val="BodyText"/>
        <w:spacing w:before="0" w:after="120" w:line="269" w:lineRule="auto"/>
      </w:pPr>
      <w:r>
        <w:t xml:space="preserve">To,</w:t>
      </w:r>
      <w:r>
        <w:br/>
      </w:r>
      <w:r>
        <w:t xml:space="preserve">[Legal name], GSTIN [ ], [address] (through the common portal and by e-mail to the registered e-mail address)</w:t>
      </w:r>
    </w:p>
    <w:p>
      <w:pPr>
        <w:pStyle w:val="BodyText"/>
        <w:spacing w:before="0" w:after="120" w:line="269" w:lineRule="auto"/>
      </w:pPr>
      <w:r>
        <w:t xml:space="preserve">Copy to: the Superintendent, [Range], Sangareddy CGST Division; guard file.</w:t>
      </w:r>
    </w:p>
    <w:p>
      <w:pPr>
        <w:pStyle w:val="BlockText"/>
        <w:shd w:val="clear" w:color="auto" w:fill="E7E6E6"/>
      </w:pPr>
      <w:r>
        <w:rPr>
          <w:bCs/>
          <w:b/>
          <w:sz w:val="21"/>
        </w:rPr>
        <w:t xml:space="preserve">Drafting note.</w:t>
      </w:r>
      <w:r>
        <w:rPr>
          <w:sz w:val="21"/>
        </w:rPr>
        <w:t xml:space="preserve"> </w:t>
      </w:r>
      <w:r>
        <w:rPr>
          <w:sz w:val="21"/>
        </w:rPr>
        <w:t xml:space="preserve">(1) Proper officer for rule 142(1A): Additional or Joint Commissioner, Deputy or Assistant Commissioner, or Superintendent (Circular No. 254/11/2025-GST, Table I). (2) Use the same financial year, section and figures you intend to use in A1, so that the notice can show what changed and why. (3) Allow a reasonable time, normally thirty days; an SCN issued before the reply time ran out has been set aside (</w:t>
      </w:r>
      <w:r>
        <w:rPr>
          <w:iCs/>
          <w:i/>
          <w:sz w:val="21"/>
        </w:rPr>
        <w:t xml:space="preserve">Varian Medical Systems</w:t>
      </w:r>
      <w:r>
        <w:rPr>
          <w:sz w:val="21"/>
        </w:rPr>
        <w:t xml:space="preserve">, Delhi High Court, 2025, persuasive). (4) Check that the reply date leaves enough time before the last date for the notice under section 73(2), 74(2) or 74A(2) (A1, Part 4); if it does not, go straight to A1 and record in A1 para 1.3 why DRC-01A was not issued. (5) Where the taxpayer pays in full, issue Part C and close the file; no notice follows for the amount paid. (6) Do not take a payment during a search or under pressure; record the voluntary nature of any DRC-03 paid after this intimation.</w:t>
      </w:r>
    </w:p>
    <w:p>
      <w:pPr>
        <w:pStyle w:val="BlockText"/>
        <w:shd w:val="clear" w:color="auto" w:fill="E7E6E6"/>
        <w:spacing w:before="360"/>
      </w:pPr>
      <w:r>
        <w:rPr>
          <w:bCs/>
          <w:b/>
          <w:sz w:val="21"/>
        </w:rPr>
        <w:t xml:space="preserve">How to use this template.</w:t>
      </w:r>
      <w:r>
        <w:rPr>
          <w:sz w:val="21"/>
        </w:rPr>
        <w:t xml:space="preserve"> </w:t>
      </w:r>
      <w:r>
        <w:rPr>
          <w:sz w:val="21"/>
        </w:rPr>
        <w:t xml:space="preserve">Part A of FORM GST DRC-01A is generated on the portal; this text is the statement attached to it, showing how the liability was ascertained. Rule 142(1A) says the proper officer</w:t>
      </w:r>
      <w:r>
        <w:rPr>
          <w:sz w:val="21"/>
        </w:rPr>
        <w:t xml:space="preserve"> </w:t>
      </w:r>
      <w:r>
        <w:rPr>
          <w:sz w:val="21"/>
        </w:rPr>
        <w:t xml:space="preserve">“</w:t>
      </w:r>
      <w:r>
        <w:rPr>
          <w:sz w:val="21"/>
        </w:rPr>
        <w:t xml:space="preserve">may</w:t>
      </w:r>
      <w:r>
        <w:rPr>
          <w:sz w:val="21"/>
        </w:rPr>
        <w:t xml:space="preserve">”</w:t>
      </w:r>
      <w:r>
        <w:rPr>
          <w:sz w:val="21"/>
        </w:rPr>
        <w:t xml:space="preserve"> </w:t>
      </w:r>
      <w:r>
        <w:rPr>
          <w:sz w:val="21"/>
        </w:rPr>
        <w:t xml:space="preserve">send it (the word</w:t>
      </w:r>
      <w:r>
        <w:rPr>
          <w:sz w:val="21"/>
        </w:rPr>
        <w:t xml:space="preserve"> </w:t>
      </w:r>
      <w:r>
        <w:rPr>
          <w:sz w:val="21"/>
        </w:rPr>
        <w:t xml:space="preserve">“</w:t>
      </w:r>
      <w:r>
        <w:rPr>
          <w:sz w:val="21"/>
        </w:rPr>
        <w:t xml:space="preserve">shall</w:t>
      </w:r>
      <w:r>
        <w:rPr>
          <w:sz w:val="21"/>
        </w:rPr>
        <w:t xml:space="preserve">”</w:t>
      </w:r>
      <w:r>
        <w:rPr>
          <w:sz w:val="21"/>
        </w:rPr>
        <w:t xml:space="preserve"> </w:t>
      </w:r>
      <w:r>
        <w:rPr>
          <w:sz w:val="21"/>
        </w:rPr>
        <w:t xml:space="preserve">was replaced by</w:t>
      </w:r>
      <w:r>
        <w:rPr>
          <w:sz w:val="21"/>
        </w:rPr>
        <w:t xml:space="preserve"> </w:t>
      </w:r>
      <w:r>
        <w:rPr>
          <w:sz w:val="21"/>
        </w:rPr>
        <w:t xml:space="preserve">“</w:t>
      </w:r>
      <w:r>
        <w:rPr>
          <w:sz w:val="21"/>
        </w:rPr>
        <w:t xml:space="preserve">may</w:t>
      </w:r>
      <w:r>
        <w:rPr>
          <w:sz w:val="21"/>
        </w:rPr>
        <w:t xml:space="preserve">”</w:t>
      </w:r>
      <w:r>
        <w:rPr>
          <w:sz w:val="21"/>
        </w:rPr>
        <w:t xml:space="preserve"> </w:t>
      </w:r>
      <w:r>
        <w:rPr>
          <w:sz w:val="21"/>
        </w:rPr>
        <w:t xml:space="preserve">by Notification No. 79/2020-Central Tax dated 15.10.2020), so it is optional; it is recommended in every case under section 74 or section 74A(5)(ii), because the reduced penalty of fifteen per cent before the notice (sections 74(5) and 74A(9)(i)) helps only a taxpayer who knows your figures. Keep one of</w:t>
      </w:r>
      <w:r>
        <w:rPr>
          <w:sz w:val="21"/>
        </w:rPr>
        <w:t xml:space="preserve"> </w:t>
      </w:r>
      <w:r>
        <w:rPr>
          <w:bCs/>
          <w:b/>
          <w:sz w:val="21"/>
        </w:rPr>
        <w:t xml:space="preserve">[S.73] / [S.74] / [S.74A(i)] / [S.74A(ii)]</w:t>
      </w:r>
      <w:r>
        <w:rPr>
          <w:sz w:val="21"/>
        </w:rPr>
        <w:t xml:space="preserve">. Give a fixed reply date, diarise it, and</w:t>
      </w:r>
      <w:r>
        <w:rPr>
          <w:sz w:val="21"/>
        </w:rPr>
        <w:t xml:space="preserve"> </w:t>
      </w:r>
      <w:r>
        <w:rPr>
          <w:bCs/>
          <w:b/>
          <w:sz w:val="21"/>
        </w:rPr>
        <w:t xml:space="preserve">do not issue the show cause notice (A1) before that date has passed</w:t>
      </w:r>
      <w:r>
        <w:rPr>
          <w:sz w:val="21"/>
        </w:rPr>
        <w:t xml:space="preserve">. When the reply comes, answer it point by point in Part 3 of A1. Delete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before issue.</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Notice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A3: Intimation before a show cause notice (Part A of FORM GST DRC-01A, rule 142(1A)), with the statement of ascertained liability</dc:title>
  <dc:creator>Sangareddy CGST Division</dc:creator>
  <cp:keywords/>
  <dcterms:created xsi:type="dcterms:W3CDTF">2026-10-14T07:56:13Z</dcterms:created>
  <dcterms:modified xsi:type="dcterms:W3CDTF">2026-10-14T07:56:13Z</dcterms:modified>
</cp:coreProperties>
</file>

<file path=docProps/custom.xml><?xml version="1.0" encoding="utf-8"?>
<Properties xmlns="http://schemas.openxmlformats.org/officeDocument/2006/custom-properties" xmlns:vt="http://schemas.openxmlformats.org/officeDocument/2006/docPropsVTypes"/>
</file>